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default" w:ascii="Times New Roman" w:hAnsi="Times New Roman" w:eastAsia="宋体" w:cs="Times New Roman"/>
          <w:sz w:val="21"/>
          <w:szCs w:val="21"/>
          <w:highlight w:val="yellow"/>
          <w:lang w:val="en-US" w:eastAsia="zh-CN"/>
        </w:rPr>
      </w:pPr>
      <w:bookmarkStart w:id="0" w:name="_Hlk496949272"/>
      <w:bookmarkEnd w:id="0"/>
      <w:bookmarkStart w:id="1" w:name="_Hlk496950128"/>
    </w:p>
    <w:p>
      <w:pPr>
        <w:rPr>
          <w:rFonts w:hint="default" w:ascii="Times New Roman" w:hAnsi="Times New Roman" w:eastAsia="宋体" w:cs="Times New Roman"/>
          <w:highlight w:val="yellow"/>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highlight w:val="none"/>
          <w:lang w:val="en-US" w:eastAsia="zh-CN"/>
        </w:rPr>
      </w:pPr>
      <w:r>
        <w:rPr>
          <w:rFonts w:hint="eastAsia" w:ascii="Times New Roman" w:hAnsi="Times New Roman" w:eastAsia="宋体" w:cs="Times New Roman"/>
          <w:color w:val="auto"/>
          <w:sz w:val="44"/>
          <w:szCs w:val="44"/>
          <w:highlight w:val="none"/>
          <w:lang w:eastAsia="zh-CN"/>
        </w:rPr>
        <w:t>新乡市永华机械有限公司年产50台套矿山机械设备项目</w:t>
      </w:r>
      <w:r>
        <w:rPr>
          <w:rFonts w:hint="default" w:ascii="Times New Roman" w:hAnsi="Times New Roman" w:eastAsia="宋体" w:cs="Times New Roman"/>
          <w:color w:val="auto"/>
          <w:sz w:val="44"/>
          <w:szCs w:val="44"/>
          <w:highlight w:val="none"/>
          <w:lang w:eastAsia="zh-CN"/>
        </w:rPr>
        <w:t>竣工环境保护</w:t>
      </w:r>
      <w:r>
        <w:rPr>
          <w:rFonts w:hint="default" w:ascii="Times New Roman" w:hAnsi="Times New Roman" w:eastAsia="宋体" w:cs="Times New Roman"/>
          <w:b/>
          <w:bCs/>
          <w:sz w:val="84"/>
          <w:szCs w:val="8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highlight w:val="none"/>
        </w:rPr>
      </w:pPr>
      <w:r>
        <w:rPr>
          <w:rFonts w:hint="default" w:ascii="Times New Roman" w:hAnsi="Times New Roman" w:eastAsia="宋体" w:cs="Times New Roman"/>
          <w:b/>
          <w:bCs/>
          <w:sz w:val="84"/>
          <w:szCs w:val="84"/>
          <w:highlight w:val="none"/>
        </w:rPr>
        <w:t>验</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收</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监</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测</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报</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告</w:t>
      </w:r>
      <w:bookmarkEnd w:id="1"/>
    </w:p>
    <w:p>
      <w:pPr>
        <w:jc w:val="center"/>
        <w:rPr>
          <w:rFonts w:hint="default" w:ascii="Times New Roman" w:hAnsi="Times New Roman" w:eastAsia="宋体" w:cs="Times New Roman"/>
          <w:b/>
          <w:bCs/>
          <w:sz w:val="52"/>
          <w:szCs w:val="52"/>
          <w:highlight w:val="none"/>
        </w:rPr>
      </w:pPr>
    </w:p>
    <w:p>
      <w:pPr>
        <w:jc w:val="center"/>
        <w:rPr>
          <w:rFonts w:hint="default" w:ascii="Times New Roman" w:hAnsi="Times New Roman" w:eastAsia="宋体" w:cs="Times New Roman"/>
          <w:sz w:val="36"/>
          <w:szCs w:val="36"/>
          <w:highlight w:val="none"/>
        </w:rPr>
      </w:pPr>
    </w:p>
    <w:p>
      <w:pPr>
        <w:jc w:val="center"/>
        <w:rPr>
          <w:rFonts w:hint="default" w:ascii="Times New Roman" w:hAnsi="Times New Roman" w:eastAsia="宋体" w:cs="Times New Roman"/>
          <w:sz w:val="36"/>
          <w:szCs w:val="36"/>
          <w:highlight w:val="none"/>
        </w:rPr>
      </w:pPr>
    </w:p>
    <w:p>
      <w:pPr>
        <w:pStyle w:val="14"/>
        <w:ind w:left="0" w:leftChars="0" w:firstLine="0" w:firstLineChars="0"/>
        <w:rPr>
          <w:rFonts w:hint="default" w:ascii="Times New Roman" w:hAnsi="Times New Roman" w:eastAsia="宋体" w:cs="Times New Roman"/>
          <w:highlight w:val="none"/>
        </w:rPr>
      </w:pPr>
    </w:p>
    <w:p>
      <w:pPr>
        <w:pStyle w:val="14"/>
        <w:ind w:left="0" w:leftChars="0" w:firstLine="0" w:firstLineChars="0"/>
        <w:rPr>
          <w:rFonts w:hint="default" w:ascii="Times New Roman" w:hAnsi="Times New Roman" w:eastAsia="宋体" w:cs="Times New Roman"/>
          <w:highlight w:val="none"/>
        </w:rPr>
      </w:pPr>
    </w:p>
    <w:p>
      <w:pPr>
        <w:pStyle w:val="14"/>
        <w:ind w:left="0" w:leftChars="0" w:firstLine="0" w:firstLineChars="0"/>
        <w:rPr>
          <w:rFonts w:hint="default" w:ascii="Times New Roman" w:hAnsi="Times New Roman" w:eastAsia="宋体" w:cs="Times New Roman"/>
          <w:highlight w:val="none"/>
        </w:rPr>
      </w:pPr>
    </w:p>
    <w:p>
      <w:pPr>
        <w:jc w:val="both"/>
        <w:rPr>
          <w:rFonts w:hint="default" w:ascii="Times New Roman" w:hAnsi="Times New Roman" w:eastAsia="宋体" w:cs="Times New Roman"/>
          <w:sz w:val="36"/>
          <w:szCs w:val="36"/>
          <w:highlight w:val="none"/>
        </w:rPr>
      </w:pPr>
    </w:p>
    <w:p>
      <w:pPr>
        <w:ind w:firstLine="643" w:firstLineChars="200"/>
        <w:jc w:val="both"/>
        <w:rPr>
          <w:rFonts w:hint="default" w:ascii="Times New Roman" w:hAnsi="Times New Roman" w:eastAsia="宋体" w:cs="Times New Roman"/>
          <w:b/>
          <w:bCs/>
          <w:sz w:val="32"/>
          <w:szCs w:val="32"/>
          <w:highlight w:val="none"/>
        </w:rPr>
      </w:pPr>
    </w:p>
    <w:p>
      <w:pPr>
        <w:jc w:val="both"/>
        <w:rPr>
          <w:rFonts w:hint="default" w:ascii="Times New Roman" w:hAnsi="Times New Roman" w:eastAsia="宋体" w:cs="Times New Roman"/>
          <w:b/>
          <w:bCs/>
          <w:sz w:val="32"/>
          <w:szCs w:val="32"/>
          <w:highlight w:val="none"/>
        </w:rPr>
      </w:pPr>
    </w:p>
    <w:p>
      <w:pPr>
        <w:ind w:firstLine="643" w:firstLineChars="200"/>
        <w:jc w:val="both"/>
        <w:rPr>
          <w:rFonts w:hint="default" w:ascii="Times New Roman" w:hAnsi="Times New Roman" w:eastAsia="宋体" w:cs="Times New Roman"/>
          <w:b/>
          <w:bCs/>
          <w:sz w:val="32"/>
          <w:szCs w:val="32"/>
          <w:highlight w:val="none"/>
          <w:u w:val="single"/>
          <w:lang w:val="en-US"/>
        </w:rPr>
      </w:pPr>
      <w:r>
        <w:rPr>
          <w:rFonts w:hint="default" w:ascii="Times New Roman" w:hAnsi="Times New Roman" w:eastAsia="宋体" w:cs="Times New Roman"/>
          <w:b/>
          <w:bCs/>
          <w:sz w:val="32"/>
          <w:szCs w:val="32"/>
          <w:highlight w:val="none"/>
        </w:rPr>
        <w:t>建设单位：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val="en-US" w:eastAsia="zh-CN"/>
        </w:rPr>
        <w:t>新乡市永华机械有限公司</w:t>
      </w:r>
      <w:r>
        <w:rPr>
          <w:rFonts w:hint="default" w:ascii="Times New Roman" w:hAnsi="Times New Roman" w:eastAsia="宋体" w:cs="Times New Roman"/>
          <w:b/>
          <w:bCs/>
          <w:sz w:val="32"/>
          <w:szCs w:val="32"/>
          <w:highlight w:val="none"/>
          <w:u w:val="thick"/>
          <w:lang w:val="en-US" w:eastAsia="zh-CN"/>
        </w:rPr>
        <w:t xml:space="preserve">     </w:t>
      </w:r>
    </w:p>
    <w:p>
      <w:pPr>
        <w:ind w:firstLine="643" w:firstLineChars="200"/>
        <w:jc w:val="both"/>
        <w:rPr>
          <w:rFonts w:hint="default" w:ascii="Times New Roman" w:hAnsi="Times New Roman" w:eastAsia="宋体" w:cs="Times New Roman"/>
          <w:b/>
          <w:bCs/>
          <w:sz w:val="32"/>
          <w:szCs w:val="32"/>
          <w:highlight w:val="none"/>
          <w:u w:val="single"/>
          <w:lang w:val="en-US"/>
        </w:rPr>
      </w:pPr>
      <w:r>
        <w:rPr>
          <w:rFonts w:hint="default" w:ascii="Times New Roman" w:hAnsi="Times New Roman" w:eastAsia="宋体" w:cs="Times New Roman"/>
          <w:b/>
          <w:bCs/>
          <w:sz w:val="32"/>
          <w:szCs w:val="32"/>
          <w:highlight w:val="none"/>
        </w:rPr>
        <w:t>编制单位：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val="en-US" w:eastAsia="zh-CN"/>
        </w:rPr>
        <w:t>新乡市永华机械有限公司</w:t>
      </w:r>
      <w:r>
        <w:rPr>
          <w:rFonts w:hint="default" w:ascii="Times New Roman" w:hAnsi="Times New Roman" w:eastAsia="宋体" w:cs="Times New Roman"/>
          <w:b/>
          <w:bCs/>
          <w:sz w:val="32"/>
          <w:szCs w:val="32"/>
          <w:highlight w:val="none"/>
          <w:u w:val="thick"/>
          <w:lang w:val="en-US" w:eastAsia="zh-CN"/>
        </w:rPr>
        <w:t xml:space="preserve">     </w:t>
      </w:r>
    </w:p>
    <w:p>
      <w:pPr>
        <w:jc w:val="both"/>
        <w:rPr>
          <w:rFonts w:hint="default" w:ascii="Times New Roman" w:hAnsi="Times New Roman" w:eastAsia="宋体" w:cs="Times New Roman"/>
          <w:b/>
          <w:bCs/>
          <w:sz w:val="32"/>
          <w:szCs w:val="32"/>
          <w:highlight w:val="none"/>
        </w:rPr>
      </w:pPr>
    </w:p>
    <w:p>
      <w:pPr>
        <w:jc w:val="center"/>
        <w:rPr>
          <w:rFonts w:hint="default" w:ascii="Times New Roman" w:hAnsi="Times New Roman" w:eastAsia="宋体" w:cs="Times New Roman"/>
          <w:b/>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color w:val="auto"/>
          <w:sz w:val="32"/>
          <w:szCs w:val="32"/>
          <w:highlight w:val="none"/>
          <w:lang w:eastAsia="zh-CN"/>
        </w:rPr>
        <w:t>二零二零</w:t>
      </w:r>
      <w:r>
        <w:rPr>
          <w:rFonts w:hint="default" w:ascii="Times New Roman" w:hAnsi="Times New Roman" w:eastAsia="宋体" w:cs="Times New Roman"/>
          <w:b/>
          <w:bCs/>
          <w:color w:val="auto"/>
          <w:sz w:val="32"/>
          <w:szCs w:val="32"/>
          <w:highlight w:val="none"/>
        </w:rPr>
        <w:t>年</w:t>
      </w:r>
      <w:r>
        <w:rPr>
          <w:rFonts w:hint="eastAsia" w:ascii="Times New Roman" w:hAnsi="Times New Roman" w:eastAsia="宋体" w:cs="Times New Roman"/>
          <w:b/>
          <w:bCs/>
          <w:color w:val="auto"/>
          <w:sz w:val="32"/>
          <w:szCs w:val="32"/>
          <w:highlight w:val="none"/>
          <w:lang w:eastAsia="zh-CN"/>
        </w:rPr>
        <w:t>十一</w:t>
      </w:r>
      <w:r>
        <w:rPr>
          <w:rFonts w:hint="default" w:ascii="Times New Roman" w:hAnsi="Times New Roman" w:eastAsia="宋体" w:cs="Times New Roman"/>
          <w:b/>
          <w:bCs/>
          <w:color w:val="auto"/>
          <w:sz w:val="32"/>
          <w:szCs w:val="32"/>
          <w:highlight w:val="none"/>
        </w:rPr>
        <w:t>月</w:t>
      </w:r>
    </w:p>
    <w:p>
      <w:pPr>
        <w:jc w:val="left"/>
        <w:rPr>
          <w:rFonts w:hint="default" w:ascii="Times New Roman" w:hAnsi="Times New Roman" w:eastAsia="宋体" w:cs="Times New Roman"/>
          <w:spacing w:val="50"/>
          <w:sz w:val="32"/>
          <w:szCs w:val="32"/>
          <w:highlight w:val="none"/>
        </w:rPr>
      </w:pPr>
    </w:p>
    <w:p>
      <w:pPr>
        <w:jc w:val="left"/>
        <w:rPr>
          <w:rFonts w:hint="default" w:ascii="Times New Roman" w:hAnsi="Times New Roman" w:eastAsia="宋体" w:cs="Times New Roman"/>
          <w:spacing w:val="50"/>
          <w:sz w:val="32"/>
          <w:szCs w:val="32"/>
          <w:highlight w:val="none"/>
        </w:rPr>
      </w:pPr>
    </w:p>
    <w:p>
      <w:pPr>
        <w:pStyle w:val="2"/>
        <w:rPr>
          <w:rFonts w:hint="default" w:ascii="Times New Roman" w:hAnsi="Times New Roman" w:eastAsia="宋体" w:cs="Times New Roman"/>
          <w:highlight w:val="none"/>
        </w:rPr>
      </w:pP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建设单位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val="en-US" w:eastAsia="zh-CN"/>
        </w:rPr>
        <w:t>新乡市永华机械有限公司</w:t>
      </w: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张涛</w:t>
      </w:r>
    </w:p>
    <w:p>
      <w:pPr>
        <w:pStyle w:val="2"/>
        <w:rPr>
          <w:rFonts w:hint="default" w:ascii="Times New Roman" w:hAnsi="Times New Roman" w:eastAsia="宋体" w:cs="Times New Roman"/>
          <w:highlight w:val="none"/>
        </w:rPr>
      </w:pP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编制单位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val="en-US" w:eastAsia="zh-CN"/>
        </w:rPr>
        <w:t>新乡市永华机械有限公司</w:t>
      </w:r>
    </w:p>
    <w:p>
      <w:pPr>
        <w:jc w:val="left"/>
        <w:rPr>
          <w:rFonts w:hint="default" w:ascii="Times New Roman" w:hAnsi="Times New Roman" w:eastAsia="宋体" w:cs="Times New Roman"/>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张涛</w:t>
      </w: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252281856" behindDoc="0" locked="0" layoutInCell="1" allowOverlap="1">
                <wp:simplePos x="0" y="0"/>
                <wp:positionH relativeFrom="column">
                  <wp:posOffset>-57785</wp:posOffset>
                </wp:positionH>
                <wp:positionV relativeFrom="paragraph">
                  <wp:posOffset>381635</wp:posOffset>
                </wp:positionV>
                <wp:extent cx="2682240" cy="2199640"/>
                <wp:effectExtent l="0" t="0" r="0" b="0"/>
                <wp:wrapNone/>
                <wp:docPr id="4" name="矩形 4"/>
                <wp:cNvGraphicFramePr/>
                <a:graphic xmlns:a="http://schemas.openxmlformats.org/drawingml/2006/main">
                  <a:graphicData uri="http://schemas.microsoft.com/office/word/2010/wordprocessingShape">
                    <wps:wsp>
                      <wps:cNvSpPr/>
                      <wps:spPr>
                        <a:xfrm>
                          <a:off x="0" y="0"/>
                          <a:ext cx="2682240" cy="21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453109</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default" w:ascii="宋体" w:hAnsi="宋体" w:eastAsia="宋体"/>
                                <w:color w:val="000000" w:themeColor="text1"/>
                                <w:sz w:val="28"/>
                                <w:szCs w:val="28"/>
                                <w:lang w:eastAsia="zh-CN"/>
                                <w14:textFill>
                                  <w14:solidFill>
                                    <w14:schemeClr w14:val="tx1"/>
                                  </w14:solidFill>
                                </w14:textFill>
                              </w:rPr>
                              <w:t>卫辉市唐庄镇盆爻村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5pt;margin-top:30.05pt;height:173.2pt;width:211.2pt;z-index:252281856;v-text-anchor:middle;mso-width-relative:page;mso-height-relative:page;" filled="f" stroked="f" coordsize="21600,21600" o:gfxdata="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Bk9XtcAAAAJAQAADwAAAAAAAAABACAAAAAiAAAAZHJzL2Rvd25yZXYueG1sUEsBAhQAFAAAAAgA&#10;h07iQMtuhnxfAgAArgQAAA4AAAAAAAAAAQAgAAAAJgEAAGRycy9lMm9Eb2MueG1sUEsFBgAAAAAG&#10;AAYAWQEAAPc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453109</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default" w:ascii="宋体" w:hAnsi="宋体" w:eastAsia="宋体"/>
                          <w:color w:val="000000" w:themeColor="text1"/>
                          <w:sz w:val="28"/>
                          <w:szCs w:val="28"/>
                          <w:lang w:eastAsia="zh-CN"/>
                          <w14:textFill>
                            <w14:solidFill>
                              <w14:schemeClr w14:val="tx1"/>
                            </w14:solidFill>
                          </w14:textFill>
                        </w:rPr>
                        <w:t>卫辉市唐庄镇盆爻村</w:t>
                      </w:r>
                    </w:p>
                  </w:txbxContent>
                </v:textbox>
              </v:rect>
            </w:pict>
          </mc:Fallback>
        </mc:AlternateContent>
      </w: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0" w:firstLine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2094934016" behindDoc="0" locked="0" layoutInCell="1" allowOverlap="1">
                <wp:simplePos x="0" y="0"/>
                <wp:positionH relativeFrom="column">
                  <wp:posOffset>3011805</wp:posOffset>
                </wp:positionH>
                <wp:positionV relativeFrom="paragraph">
                  <wp:posOffset>175260</wp:posOffset>
                </wp:positionV>
                <wp:extent cx="2608580" cy="2175510"/>
                <wp:effectExtent l="0" t="0" r="0" b="0"/>
                <wp:wrapNone/>
                <wp:docPr id="11" name="矩形 11"/>
                <wp:cNvGraphicFramePr/>
                <a:graphic xmlns:a="http://schemas.openxmlformats.org/drawingml/2006/main">
                  <a:graphicData uri="http://schemas.microsoft.com/office/word/2010/wordprocessingShape">
                    <wps:wsp>
                      <wps:cNvSpPr/>
                      <wps:spPr>
                        <a:xfrm>
                          <a:off x="0" y="0"/>
                          <a:ext cx="2608580" cy="2175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453109</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default" w:ascii="宋体" w:hAnsi="宋体" w:eastAsia="宋体"/>
                                <w:color w:val="000000" w:themeColor="text1"/>
                                <w:sz w:val="28"/>
                                <w:szCs w:val="28"/>
                                <w:lang w:eastAsia="zh-CN"/>
                                <w14:textFill>
                                  <w14:solidFill>
                                    <w14:schemeClr w14:val="tx1"/>
                                  </w14:solidFill>
                                </w14:textFill>
                              </w:rPr>
                              <w:t>卫辉市唐庄镇盆爻村</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15pt;margin-top:13.8pt;height:171.3pt;width:205.4pt;z-index:2094934016;v-text-anchor:middle;mso-width-relative:page;mso-height-relative:page;" filled="f" stroked="f" coordsize="21600,21600" o:gfxdata="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KzkmzZAAAACgEAAA8AAAAAAAAAAQAgAAAAIgAAAGRycy9kb3ducmV2LnhtbFBLAQIUABQA&#10;AAAIAIdO4kD4oQRMYQIAALAEAAAOAAAAAAAAAAEAIAAAACgBAABkcnMvZTJvRG9jLnhtbFBLBQYA&#10;AAAABgAGAFkBAAD7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编制</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453109</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olor w:val="000000" w:themeColor="text1"/>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default" w:ascii="宋体" w:hAnsi="宋体" w:eastAsia="宋体"/>
                          <w:color w:val="000000" w:themeColor="text1"/>
                          <w:sz w:val="28"/>
                          <w:szCs w:val="28"/>
                          <w:lang w:eastAsia="zh-CN"/>
                          <w14:textFill>
                            <w14:solidFill>
                              <w14:schemeClr w14:val="tx1"/>
                            </w14:solidFill>
                          </w14:textFill>
                        </w:rPr>
                        <w:t>卫辉市唐庄镇盆爻村</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color w:val="000000" w:themeColor="text1"/>
                          <w14:textFill>
                            <w14:solidFill>
                              <w14:schemeClr w14:val="tx1"/>
                            </w14:solidFill>
                          </w14:textFill>
                        </w:rPr>
                      </w:pPr>
                    </w:p>
                  </w:txbxContent>
                </v:textbox>
              </v:rect>
            </w:pict>
          </mc:Fallback>
        </mc:AlternateContent>
      </w: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8" w:leftChars="399" w:right="0" w:rightChars="0" w:hanging="5040" w:hangingChars="18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2" w:leftChars="1463" w:right="0" w:rightChars="0" w:hanging="2800" w:hanging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yellow"/>
        </w:rPr>
      </w:pPr>
    </w:p>
    <w:p>
      <w:pPr>
        <w:rPr>
          <w:rFonts w:hint="default" w:ascii="Times New Roman" w:hAnsi="Times New Roman" w:eastAsia="宋体" w:cs="Times New Roman"/>
          <w:sz w:val="28"/>
          <w:szCs w:val="28"/>
          <w:highlight w:val="yellow"/>
        </w:rPr>
      </w:pPr>
    </w:p>
    <w:p>
      <w:pPr>
        <w:rPr>
          <w:rFonts w:hint="default" w:ascii="Times New Roman" w:hAnsi="Times New Roman" w:eastAsia="宋体" w:cs="Times New Roman"/>
          <w:sz w:val="28"/>
          <w:szCs w:val="28"/>
          <w:highlight w:val="yellow"/>
        </w:rPr>
      </w:pPr>
    </w:p>
    <w:p>
      <w:pPr>
        <w:pStyle w:val="2"/>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bCs w:val="0"/>
          <w:sz w:val="36"/>
          <w:szCs w:val="36"/>
          <w:highlight w:val="yellow"/>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2" w:name="_Toc49700142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一、验收项目概况</w:t>
      </w:r>
      <w:bookmarkEnd w:id="2"/>
    </w:p>
    <w:p>
      <w:pPr>
        <w:keepNext w:val="0"/>
        <w:keepLines w:val="0"/>
        <w:pageBreakBefore w:val="0"/>
        <w:widowControl/>
        <w:suppressLineNumbers w:val="0"/>
        <w:kinsoku/>
        <w:wordWrap w:val="0"/>
        <w:overflowPunct/>
        <w:topLinePunct w:val="0"/>
        <w:autoSpaceDE/>
        <w:autoSpaceDN/>
        <w:bidi w:val="0"/>
        <w:adjustRightInd/>
        <w:snapToGrid/>
        <w:ind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新乡市永华机械有限公司</w:t>
      </w:r>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投资</w:t>
      </w: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00万元在</w:t>
      </w: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卫辉市唐庄镇盆爻村</w:t>
      </w:r>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建设</w:t>
      </w: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年产50台套矿山机械设备项目</w:t>
      </w:r>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，于2020年</w:t>
      </w: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月委托</w:t>
      </w: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河南昊泉环保科技有限公司</w:t>
      </w:r>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编制《</w:t>
      </w:r>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年产50台套矿山机械设备项目</w:t>
      </w:r>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环境影响报告表》，该项目环评</w:t>
      </w:r>
      <w:r>
        <w:rPr>
          <w:rFonts w:hint="default" w:ascii="Times New Roman" w:hAnsi="Times New Roman" w:eastAsia="宋体" w:cs="Times New Roman"/>
          <w:color w:val="000000" w:themeColor="text1"/>
          <w:sz w:val="28"/>
          <w:szCs w:val="28"/>
          <w:highlight w:val="none"/>
          <w14:textFill>
            <w14:solidFill>
              <w14:schemeClr w14:val="tx1"/>
            </w14:solidFill>
          </w14:textFill>
        </w:rPr>
        <w:t>报告于</w:t>
      </w:r>
      <w:bookmarkStart w:id="3" w:name="_Hlk496980272"/>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2020</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eastAsia" w:ascii="Times New Roman" w:hAnsi="Times New Roman" w:cs="Times New Roman"/>
          <w:color w:val="000000" w:themeColor="text1"/>
          <w:sz w:val="28"/>
          <w:szCs w:val="28"/>
          <w:highlight w:val="none"/>
          <w:lang w:val="en-US" w:eastAsia="zh-CN"/>
          <w14:textFill>
            <w14:solidFill>
              <w14:schemeClr w14:val="tx1"/>
            </w14:solidFill>
          </w14:textFill>
        </w:rPr>
        <w:t>29</w:t>
      </w:r>
      <w:r>
        <w:rPr>
          <w:rFonts w:hint="default" w:ascii="Times New Roman" w:hAnsi="Times New Roman" w:eastAsia="宋体" w:cs="Times New Roman"/>
          <w:color w:val="000000" w:themeColor="text1"/>
          <w:sz w:val="28"/>
          <w:szCs w:val="28"/>
          <w:highlight w:val="none"/>
          <w14:textFill>
            <w14:solidFill>
              <w14:schemeClr w14:val="tx1"/>
            </w14:solidFill>
          </w14:textFill>
        </w:rPr>
        <w:t>日通过</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卫辉市环境保护局</w:t>
      </w:r>
      <w:r>
        <w:rPr>
          <w:rFonts w:hint="default" w:ascii="Times New Roman" w:hAnsi="Times New Roman" w:eastAsia="宋体" w:cs="Times New Roman"/>
          <w:color w:val="000000" w:themeColor="text1"/>
          <w:sz w:val="28"/>
          <w:szCs w:val="28"/>
          <w:highlight w:val="none"/>
          <w14:textFill>
            <w14:solidFill>
              <w14:schemeClr w14:val="tx1"/>
            </w14:solidFill>
          </w14:textFill>
        </w:rPr>
        <w:t>审</w:t>
      </w:r>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批，审批文号为卫环告表[2020]</w:t>
      </w:r>
      <w:r>
        <w:rPr>
          <w:rFonts w:hint="eastAsia" w:ascii="Times New Roman" w:hAnsi="Times New Roman" w:cs="Times New Roman"/>
          <w:b w:val="0"/>
          <w:bCs w:val="0"/>
          <w:color w:val="000000" w:themeColor="text1"/>
          <w:sz w:val="28"/>
          <w:szCs w:val="28"/>
          <w:highlight w:val="none"/>
          <w:u w:val="none"/>
          <w:lang w:val="en-US" w:eastAsia="zh-CN"/>
          <w14:textFill>
            <w14:solidFill>
              <w14:schemeClr w14:val="tx1"/>
            </w14:solidFill>
          </w14:textFill>
        </w:rPr>
        <w:t>47</w:t>
      </w:r>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号。</w:t>
      </w:r>
      <w:bookmarkEnd w:id="3"/>
      <w:r>
        <w:rPr>
          <w:rFonts w:hint="eastAsia"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并于2020年11月03日申领排污登记，登记编号</w:t>
      </w:r>
      <w:r>
        <w:rPr>
          <w:rFonts w:hint="default" w:ascii="Times New Roman" w:hAnsi="Times New Roman" w:eastAsia="宋体" w:cs="Times New Roman"/>
          <w:b w:val="0"/>
          <w:bCs w:val="0"/>
          <w:color w:val="000000" w:themeColor="text1"/>
          <w:sz w:val="28"/>
          <w:szCs w:val="28"/>
          <w:highlight w:val="none"/>
          <w:u w:val="none"/>
          <w:lang w:val="en-US" w:eastAsia="zh-CN"/>
          <w14:textFill>
            <w14:solidFill>
              <w14:schemeClr w14:val="tx1"/>
            </w14:solidFill>
          </w14:textFill>
        </w:rPr>
        <w:t>91410781326777610A001X</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red"/>
          <w:lang w:val="en-US" w:eastAsia="zh-CN"/>
        </w:rPr>
      </w:pPr>
      <w:r>
        <w:rPr>
          <w:rFonts w:hint="default" w:ascii="Times New Roman" w:hAnsi="Times New Roman" w:eastAsia="宋体" w:cs="Times New Roman"/>
          <w:b w:val="0"/>
          <w:bCs w:val="0"/>
          <w:color w:val="auto"/>
          <w:sz w:val="28"/>
          <w:szCs w:val="28"/>
          <w:highlight w:val="none"/>
          <w:u w:val="none"/>
          <w:lang w:eastAsia="zh-CN"/>
        </w:rPr>
        <w:t>该</w:t>
      </w:r>
      <w:r>
        <w:rPr>
          <w:rFonts w:hint="default" w:ascii="Times New Roman" w:hAnsi="Times New Roman" w:eastAsia="宋体" w:cs="Times New Roman"/>
          <w:b w:val="0"/>
          <w:bCs w:val="0"/>
          <w:color w:val="auto"/>
          <w:sz w:val="28"/>
          <w:szCs w:val="28"/>
          <w:highlight w:val="none"/>
          <w:u w:val="none"/>
        </w:rPr>
        <w:t>项目于20</w:t>
      </w:r>
      <w:r>
        <w:rPr>
          <w:rFonts w:hint="default"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cs="Times New Roman"/>
          <w:b w:val="0"/>
          <w:bCs w:val="0"/>
          <w:color w:val="auto"/>
          <w:sz w:val="28"/>
          <w:szCs w:val="28"/>
          <w:highlight w:val="none"/>
          <w:u w:val="none"/>
          <w:lang w:val="en-US" w:eastAsia="zh-CN"/>
        </w:rPr>
        <w:t>10</w:t>
      </w:r>
      <w:r>
        <w:rPr>
          <w:rFonts w:hint="default" w:ascii="Times New Roman" w:hAnsi="Times New Roman" w:eastAsia="宋体" w:cs="Times New Roman"/>
          <w:b w:val="0"/>
          <w:bCs w:val="0"/>
          <w:color w:val="auto"/>
          <w:sz w:val="28"/>
          <w:szCs w:val="28"/>
          <w:highlight w:val="none"/>
          <w:u w:val="none"/>
        </w:rPr>
        <w:t>月开工建设，</w:t>
      </w:r>
      <w:r>
        <w:rPr>
          <w:rFonts w:hint="default" w:ascii="Times New Roman" w:hAnsi="Times New Roman" w:eastAsia="宋体" w:cs="Times New Roman"/>
          <w:b w:val="0"/>
          <w:bCs w:val="0"/>
          <w:color w:val="auto"/>
          <w:sz w:val="28"/>
          <w:szCs w:val="28"/>
          <w:highlight w:val="none"/>
          <w:u w:val="none"/>
          <w:lang w:val="en-US" w:eastAsia="zh-CN"/>
        </w:rPr>
        <w:t>2020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cs="Times New Roman"/>
          <w:b w:val="0"/>
          <w:bCs w:val="0"/>
          <w:color w:val="auto"/>
          <w:sz w:val="28"/>
          <w:szCs w:val="28"/>
          <w:highlight w:val="none"/>
          <w:u w:val="none"/>
          <w:lang w:val="en-US" w:eastAsia="zh-CN"/>
        </w:rPr>
        <w:t>11</w:t>
      </w:r>
      <w:r>
        <w:rPr>
          <w:rFonts w:hint="default" w:ascii="Times New Roman" w:hAnsi="Times New Roman" w:eastAsia="宋体" w:cs="Times New Roman"/>
          <w:b w:val="0"/>
          <w:bCs w:val="0"/>
          <w:color w:val="auto"/>
          <w:sz w:val="28"/>
          <w:szCs w:val="28"/>
          <w:highlight w:val="none"/>
          <w:u w:val="none"/>
        </w:rPr>
        <w:t>月竣工，并于20</w:t>
      </w:r>
      <w:r>
        <w:rPr>
          <w:rFonts w:hint="default"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cs="Times New Roman"/>
          <w:b w:val="0"/>
          <w:bCs w:val="0"/>
          <w:color w:val="auto"/>
          <w:sz w:val="28"/>
          <w:szCs w:val="28"/>
          <w:highlight w:val="none"/>
          <w:u w:val="none"/>
          <w:lang w:val="en-US" w:eastAsia="zh-CN"/>
        </w:rPr>
        <w:t>11</w:t>
      </w:r>
      <w:r>
        <w:rPr>
          <w:rFonts w:hint="default" w:ascii="Times New Roman" w:hAnsi="Times New Roman" w:eastAsia="宋体" w:cs="Times New Roman"/>
          <w:b w:val="0"/>
          <w:bCs w:val="0"/>
          <w:color w:val="auto"/>
          <w:sz w:val="28"/>
          <w:szCs w:val="28"/>
          <w:highlight w:val="none"/>
          <w:u w:val="none"/>
        </w:rPr>
        <w:t>月</w:t>
      </w:r>
      <w:r>
        <w:rPr>
          <w:rFonts w:hint="default" w:ascii="Times New Roman" w:hAnsi="Times New Roman" w:eastAsia="宋体" w:cs="Times New Roman"/>
          <w:color w:val="auto"/>
          <w:sz w:val="28"/>
          <w:szCs w:val="28"/>
          <w:highlight w:val="none"/>
          <w:lang w:eastAsia="zh-CN"/>
        </w:rPr>
        <w:t>开始设备调试</w:t>
      </w:r>
      <w:r>
        <w:rPr>
          <w:rFonts w:hint="default" w:ascii="Times New Roman" w:hAnsi="Times New Roman" w:eastAsia="宋体" w:cs="Times New Roman"/>
          <w:b w:val="0"/>
          <w:bCs w:val="0"/>
          <w:color w:val="auto"/>
          <w:sz w:val="28"/>
          <w:szCs w:val="28"/>
          <w:highlight w:val="none"/>
          <w:u w:val="none"/>
        </w:rPr>
        <w:t>。</w:t>
      </w:r>
      <w:r>
        <w:rPr>
          <w:rFonts w:hint="default" w:ascii="Times New Roman" w:hAnsi="Times New Roman" w:eastAsia="宋体" w:cs="Times New Roman"/>
          <w:color w:val="auto"/>
          <w:sz w:val="28"/>
          <w:szCs w:val="28"/>
          <w:highlight w:val="none"/>
          <w:lang w:eastAsia="zh-CN"/>
        </w:rPr>
        <w:t>根据《建设项目环境保护管理条例》和《建设项目竣工环境保护验收暂行办法》（国环规环评[2017]4号），</w:t>
      </w:r>
      <w:r>
        <w:rPr>
          <w:rFonts w:hint="eastAsia" w:ascii="Times New Roman" w:hAnsi="Times New Roman" w:cs="Times New Roman"/>
          <w:b w:val="0"/>
          <w:bCs w:val="0"/>
          <w:color w:val="auto"/>
          <w:sz w:val="28"/>
          <w:szCs w:val="28"/>
          <w:highlight w:val="none"/>
          <w:u w:val="none"/>
          <w:lang w:val="en-US" w:eastAsia="zh-CN"/>
        </w:rPr>
        <w:t>新乡市永华机械有限公司</w:t>
      </w:r>
      <w:r>
        <w:rPr>
          <w:rFonts w:hint="default" w:ascii="Times New Roman" w:hAnsi="Times New Roman" w:eastAsia="宋体" w:cs="Times New Roman"/>
          <w:bCs/>
          <w:color w:val="auto"/>
          <w:sz w:val="28"/>
          <w:szCs w:val="28"/>
          <w:highlight w:val="none"/>
          <w:lang w:val="en-US" w:eastAsia="zh-CN"/>
        </w:rPr>
        <w:t>对本项目组织实施验收</w:t>
      </w:r>
      <w:r>
        <w:rPr>
          <w:rFonts w:hint="default" w:ascii="Times New Roman" w:hAnsi="Times New Roman" w:eastAsia="宋体" w:cs="Times New Roman"/>
          <w:color w:val="auto"/>
          <w:sz w:val="28"/>
          <w:szCs w:val="28"/>
          <w:highlight w:val="none"/>
          <w:lang w:eastAsia="zh-CN"/>
        </w:rPr>
        <w:t>。河南永蓝检测技术有限公司于</w:t>
      </w:r>
      <w:bookmarkStart w:id="4" w:name="_Hlk496985984"/>
      <w:r>
        <w:rPr>
          <w:rFonts w:hint="default" w:ascii="Times New Roman" w:hAnsi="Times New Roman" w:eastAsia="宋体" w:cs="Times New Roman"/>
          <w:color w:val="auto"/>
          <w:sz w:val="28"/>
          <w:szCs w:val="28"/>
          <w:highlight w:val="none"/>
        </w:rPr>
        <w:t>20</w:t>
      </w:r>
      <w:r>
        <w:rPr>
          <w:rFonts w:hint="default"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月</w:t>
      </w:r>
      <w:r>
        <w:rPr>
          <w:rFonts w:hint="default"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rPr>
        <w:t>日至</w:t>
      </w:r>
      <w:r>
        <w:rPr>
          <w:rFonts w:hint="eastAsia" w:ascii="Times New Roman" w:hAnsi="Times New Roman"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日</w:t>
      </w:r>
      <w:bookmarkEnd w:id="4"/>
      <w:r>
        <w:rPr>
          <w:rFonts w:hint="default" w:ascii="Times New Roman" w:hAnsi="Times New Roman" w:eastAsia="宋体" w:cs="Times New Roman"/>
          <w:color w:val="auto"/>
          <w:sz w:val="28"/>
          <w:szCs w:val="28"/>
          <w:highlight w:val="none"/>
        </w:rPr>
        <w:t>进行了竣工验收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并出具</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r>
        <w:rPr>
          <w:rFonts w:hint="default" w:ascii="Times New Roman" w:hAnsi="Times New Roman" w:eastAsia="宋体" w:cs="Times New Roman"/>
          <w:color w:val="auto"/>
          <w:sz w:val="28"/>
          <w:szCs w:val="28"/>
          <w:highlight w:val="none"/>
          <w:lang w:eastAsia="zh-CN"/>
        </w:rPr>
        <w:t>，</w:t>
      </w:r>
      <w:r>
        <w:rPr>
          <w:rFonts w:hint="eastAsia" w:ascii="Times New Roman" w:hAnsi="Times New Roman" w:cs="Times New Roman"/>
          <w:bCs/>
          <w:color w:val="auto"/>
          <w:sz w:val="28"/>
          <w:szCs w:val="28"/>
          <w:highlight w:val="none"/>
          <w:lang w:eastAsia="zh-CN"/>
        </w:rPr>
        <w:t>新乡市永华机械有限公司</w:t>
      </w:r>
      <w:r>
        <w:rPr>
          <w:rFonts w:hint="default" w:ascii="Times New Roman" w:hAnsi="Times New Roman" w:eastAsia="宋体" w:cs="Times New Roman"/>
          <w:bCs/>
          <w:color w:val="auto"/>
          <w:sz w:val="28"/>
          <w:szCs w:val="28"/>
          <w:highlight w:val="none"/>
          <w:lang w:eastAsia="zh-CN"/>
        </w:rPr>
        <w:t>于</w:t>
      </w:r>
      <w:r>
        <w:rPr>
          <w:rFonts w:hint="default" w:ascii="Times New Roman" w:hAnsi="Times New Roman" w:eastAsia="宋体" w:cs="Times New Roman"/>
          <w:bCs/>
          <w:color w:val="auto"/>
          <w:sz w:val="28"/>
          <w:szCs w:val="28"/>
          <w:highlight w:val="none"/>
          <w:lang w:val="en-US" w:eastAsia="zh-CN"/>
        </w:rPr>
        <w:t>2020年</w:t>
      </w:r>
      <w:r>
        <w:rPr>
          <w:rFonts w:hint="eastAsia" w:ascii="Times New Roman" w:hAnsi="Times New Roman" w:cs="Times New Roman"/>
          <w:bCs/>
          <w:color w:val="auto"/>
          <w:sz w:val="28"/>
          <w:szCs w:val="28"/>
          <w:highlight w:val="none"/>
          <w:lang w:val="en-US" w:eastAsia="zh-CN"/>
        </w:rPr>
        <w:t>11</w:t>
      </w:r>
      <w:r>
        <w:rPr>
          <w:rFonts w:hint="default" w:ascii="Times New Roman" w:hAnsi="Times New Roman" w:eastAsia="宋体" w:cs="Times New Roman"/>
          <w:bCs/>
          <w:color w:val="auto"/>
          <w:sz w:val="28"/>
          <w:szCs w:val="28"/>
          <w:highlight w:val="none"/>
          <w:lang w:val="en-US" w:eastAsia="zh-CN"/>
        </w:rPr>
        <w:t>月</w:t>
      </w:r>
      <w:r>
        <w:rPr>
          <w:rFonts w:hint="default" w:ascii="Times New Roman" w:hAnsi="Times New Roman" w:eastAsia="宋体" w:cs="Times New Roman"/>
          <w:color w:val="auto"/>
          <w:sz w:val="28"/>
          <w:szCs w:val="28"/>
          <w:highlight w:val="none"/>
        </w:rPr>
        <w:t>为该项目编制竣工环境保护验收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报告。</w:t>
      </w:r>
      <w:bookmarkStart w:id="5" w:name="_Toc497001430"/>
      <w:r>
        <w:rPr>
          <w:rFonts w:hint="default" w:ascii="Times New Roman" w:hAnsi="Times New Roman" w:eastAsia="宋体" w:cs="Times New Roman"/>
          <w:color w:val="auto"/>
          <w:sz w:val="28"/>
          <w:szCs w:val="28"/>
          <w:highlight w:val="none"/>
          <w:lang w:eastAsia="zh-CN"/>
        </w:rPr>
        <w:t>在项目建设到调试过程中无环境投诉、违法或处罚记录等。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二、验收依据</w:t>
      </w:r>
      <w:bookmarkEnd w:id="5"/>
      <w:bookmarkStart w:id="6" w:name="_Toc497001431"/>
    </w:p>
    <w:bookmarkEnd w:id="6"/>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30"/>
          <w:szCs w:val="30"/>
          <w:highlight w:val="none"/>
        </w:rPr>
      </w:pPr>
      <w:r>
        <w:rPr>
          <w:rFonts w:hint="default" w:ascii="Times New Roman" w:hAnsi="Times New Roman" w:eastAsia="宋体" w:cs="Times New Roman"/>
          <w:b/>
          <w:bCs/>
          <w:sz w:val="30"/>
          <w:szCs w:val="30"/>
          <w:highlight w:val="none"/>
          <w:lang w:val="en-US" w:eastAsia="zh-CN"/>
        </w:rPr>
        <w:t>1.</w:t>
      </w:r>
      <w:r>
        <w:rPr>
          <w:rFonts w:hint="default" w:ascii="Times New Roman" w:hAnsi="Times New Roman" w:eastAsia="宋体" w:cs="Times New Roman"/>
          <w:b/>
          <w:bCs/>
          <w:sz w:val="30"/>
          <w:szCs w:val="30"/>
          <w:highlight w:val="none"/>
        </w:rPr>
        <w:t>建设项目环境保护相关法律、法</w:t>
      </w:r>
      <w:r>
        <w:rPr>
          <w:rFonts w:hint="default" w:ascii="Times New Roman" w:hAnsi="Times New Roman" w:eastAsia="宋体" w:cs="Times New Roman"/>
          <w:b/>
          <w:bCs/>
          <w:sz w:val="30"/>
          <w:szCs w:val="30"/>
          <w:highlight w:val="none"/>
          <w:lang w:val="en-US" w:eastAsia="zh-CN"/>
        </w:rPr>
        <w:t>规、规章和规范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（2）</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《中华人民共和国环境影响评价法》，（</w:t>
      </w:r>
      <w:r>
        <w:rPr>
          <w:rFonts w:hint="default" w:ascii="Times New Roman" w:hAnsi="Times New Roman" w:eastAsia="宋体" w:cs="Times New Roman"/>
          <w:color w:val="auto"/>
          <w:sz w:val="28"/>
          <w:szCs w:val="28"/>
          <w:highlight w:val="none"/>
        </w:rPr>
        <w:t>201</w:t>
      </w:r>
      <w:r>
        <w:rPr>
          <w:rFonts w:hint="default" w:ascii="Times New Roman" w:hAnsi="Times New Roman" w:eastAsia="宋体" w:cs="Times New Roman"/>
          <w:color w:val="auto"/>
          <w:sz w:val="28"/>
          <w:szCs w:val="28"/>
          <w:highlight w:val="none"/>
          <w:lang w:val="en-US" w:eastAsia="zh-CN"/>
        </w:rPr>
        <w:t>8</w:t>
      </w:r>
      <w:r>
        <w:rPr>
          <w:rFonts w:hint="default" w:ascii="Times New Roman" w:hAnsi="Times New Roman" w:eastAsia="宋体" w:cs="Times New Roman"/>
          <w:color w:val="auto"/>
          <w:sz w:val="28"/>
          <w:szCs w:val="28"/>
          <w:highlight w:val="none"/>
        </w:rPr>
        <w:t>年12月29日</w:t>
      </w:r>
      <w:r>
        <w:rPr>
          <w:rFonts w:hint="default" w:ascii="Times New Roman" w:hAnsi="Times New Roman" w:eastAsia="宋体" w:cs="Times New Roman"/>
          <w:color w:val="000000" w:themeColor="text1"/>
          <w:sz w:val="28"/>
          <w:szCs w:val="28"/>
          <w:highlight w:val="none"/>
          <w14:textFill>
            <w14:solidFill>
              <w14:schemeClr w14:val="tx1"/>
            </w14:solidFill>
          </w14:textFill>
        </w:rPr>
        <w:t>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（3）</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《中华人民共和国水污染防治法》</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14:textFill>
            <w14:solidFill>
              <w14:schemeClr w14:val="tx1"/>
            </w14:solidFill>
          </w14:textFill>
        </w:rPr>
        <w:t>8年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14:textFill>
            <w14:solidFill>
              <w14:schemeClr w14:val="tx1"/>
            </w14:solidFill>
          </w14:textFill>
        </w:rPr>
        <w:t>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（4）</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《中华人民共和国大气污染防治法》，（ 201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sz w:val="28"/>
          <w:szCs w:val="28"/>
          <w:highlight w:val="none"/>
          <w14:textFill>
            <w14:solidFill>
              <w14:schemeClr w14:val="tx1"/>
            </w14:solidFill>
          </w14:textFill>
        </w:rPr>
        <w:t>日施行）；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（5）</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《中华人民共和国环境噪声污染防治法》，（201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14:textFill>
            <w14:solidFill>
              <w14:schemeClr w14:val="tx1"/>
            </w14:solidFill>
          </w14:textFill>
        </w:rPr>
        <w:t>年12月29日起施行）；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201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8"/>
          <w:szCs w:val="28"/>
          <w:highlight w:val="none"/>
          <w14:textFill>
            <w14:solidFill>
              <w14:schemeClr w14:val="tx1"/>
            </w14:solidFill>
          </w14:textFill>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（7）</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《中华人民共和国土壤污染防治法》，（</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2019年1月1日起施行</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《建设项目环境保护管理条例》，（2017年10月1日起施行）；</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 《声环境质量标准》（GB3096-2008）；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《环境空气质量标准》 (GB3095-2012)；</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（11）《大气污染物综合排放标准》（</w:t>
      </w:r>
      <w:r>
        <w:rPr>
          <w:rFonts w:hint="default" w:ascii="Times New Roman" w:hAnsi="Times New Roman" w:eastAsia="宋体" w:cs="Times New Roman"/>
          <w:color w:val="auto"/>
          <w:sz w:val="28"/>
          <w:szCs w:val="28"/>
          <w:highlight w:val="none"/>
          <w:lang w:val="en-US" w:eastAsia="zh-CN"/>
        </w:rPr>
        <w:t>GB16297-1996</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14:textFill>
            <w14:solidFill>
              <w14:schemeClr w14:val="tx1"/>
            </w14:solidFill>
          </w14:textFill>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《危险废物贮存污染控制标准》（GB185</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97</w:t>
      </w:r>
      <w:r>
        <w:rPr>
          <w:rFonts w:hint="default" w:ascii="Times New Roman" w:hAnsi="Times New Roman" w:eastAsia="宋体" w:cs="Times New Roman"/>
          <w:color w:val="000000" w:themeColor="text1"/>
          <w:sz w:val="28"/>
          <w:szCs w:val="28"/>
          <w:highlight w:val="none"/>
          <w14:textFill>
            <w14:solidFill>
              <w14:schemeClr w14:val="tx1"/>
            </w14:solidFill>
          </w14:textFill>
        </w:rPr>
        <w:t>-2001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）及</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2013年修改单。</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32"/>
          <w:szCs w:val="32"/>
          <w:highlight w:val="none"/>
          <w:lang w:val="en-US" w:eastAsia="zh-CN"/>
        </w:rPr>
      </w:pPr>
      <w:r>
        <w:rPr>
          <w:rFonts w:hint="default" w:ascii="Times New Roman" w:hAnsi="Times New Roman" w:eastAsia="宋体" w:cs="Times New Roman"/>
          <w:b/>
          <w:bCs/>
          <w:sz w:val="32"/>
          <w:szCs w:val="32"/>
          <w:highlight w:val="none"/>
          <w:lang w:val="en-US" w:eastAsia="zh-CN"/>
        </w:rPr>
        <w:t>2.建设项目竣工环境保护验收技术规范</w:t>
      </w:r>
    </w:p>
    <w:p>
      <w:pPr>
        <w:pStyle w:val="3"/>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sz w:val="28"/>
          <w:szCs w:val="28"/>
          <w:highlight w:val="none"/>
          <w:lang w:eastAsia="zh-CN"/>
        </w:rPr>
      </w:pPr>
      <w:r>
        <w:rPr>
          <w:rFonts w:hint="eastAsia"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eastAsia="zh-CN"/>
        </w:rPr>
        <w:t>《建设项目竣工环境保护验收暂行办法》；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sz w:val="28"/>
          <w:szCs w:val="28"/>
          <w:highlight w:val="none"/>
        </w:rPr>
      </w:pPr>
      <w:r>
        <w:rPr>
          <w:rFonts w:hint="eastAsia" w:ascii="Times New Roman" w:hAnsi="Times New Roman" w:eastAsia="宋体" w:cs="Times New Roman"/>
          <w:kern w:val="2"/>
          <w:sz w:val="28"/>
          <w:szCs w:val="28"/>
          <w:highlight w:val="none"/>
          <w:lang w:val="en-US" w:eastAsia="zh-CN" w:bidi="ar-SA"/>
        </w:rPr>
        <w:t>（2）</w:t>
      </w:r>
      <w:r>
        <w:rPr>
          <w:rFonts w:hint="default" w:ascii="Times New Roman" w:hAnsi="Times New Roman" w:eastAsia="宋体" w:cs="Times New Roman"/>
          <w:kern w:val="2"/>
          <w:sz w:val="28"/>
          <w:szCs w:val="28"/>
          <w:highlight w:val="none"/>
          <w:lang w:val="en-US" w:eastAsia="zh-CN" w:bidi="ar-SA"/>
        </w:rPr>
        <w:t>《建设项目竣工环境保护验收技术指南 污染影响类》（生态环境部）；</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30"/>
          <w:szCs w:val="30"/>
          <w:highlight w:val="none"/>
          <w:lang w:val="en-US" w:eastAsia="zh-CN"/>
        </w:rPr>
      </w:pPr>
      <w:r>
        <w:rPr>
          <w:rFonts w:hint="default" w:ascii="Times New Roman" w:hAnsi="Times New Roman" w:eastAsia="宋体" w:cs="Times New Roman"/>
          <w:b/>
          <w:bCs/>
          <w:sz w:val="30"/>
          <w:szCs w:val="30"/>
          <w:highlight w:val="none"/>
          <w:lang w:val="en-US" w:eastAsia="zh-CN"/>
        </w:rPr>
        <w:t>3.建设项目环境影响报告表及审批部门审批决定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rPr>
        <w:t>（1）《</w:t>
      </w:r>
      <w:r>
        <w:rPr>
          <w:rFonts w:hint="eastAsia" w:ascii="Times New Roman" w:hAnsi="Times New Roman" w:eastAsia="宋体" w:cs="Times New Roman"/>
          <w:sz w:val="28"/>
          <w:szCs w:val="28"/>
          <w:highlight w:val="none"/>
          <w:lang w:eastAsia="zh-CN"/>
        </w:rPr>
        <w:t>新乡市永华机械有限公司年产50台套矿山机械设备项目</w:t>
      </w:r>
      <w:r>
        <w:rPr>
          <w:rFonts w:hint="default" w:ascii="Times New Roman" w:hAnsi="Times New Roman" w:eastAsia="宋体" w:cs="Times New Roman"/>
          <w:sz w:val="28"/>
          <w:szCs w:val="28"/>
          <w:highlight w:val="none"/>
          <w:lang w:eastAsia="zh-CN"/>
        </w:rPr>
        <w:t>环境影响</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报告表</w:t>
      </w:r>
      <w:r>
        <w:rPr>
          <w:rFonts w:hint="default" w:ascii="Times New Roman" w:hAnsi="Times New Roman" w:eastAsia="宋体" w:cs="Times New Roman"/>
          <w:sz w:val="28"/>
          <w:szCs w:val="28"/>
          <w:highlight w:val="none"/>
          <w:lang w:eastAsia="zh-CN"/>
        </w:rPr>
        <w:t>》</w:t>
      </w:r>
      <w:r>
        <w:rPr>
          <w:rFonts w:hint="eastAsia" w:ascii="Times New Roman" w:hAnsi="Times New Roman" w:eastAsia="宋体" w:cs="Times New Roman"/>
          <w:sz w:val="28"/>
          <w:szCs w:val="28"/>
          <w:highlight w:val="none"/>
          <w:lang w:eastAsia="zh-CN"/>
        </w:rPr>
        <w:t>河南昊泉环保科技有限公司</w:t>
      </w:r>
      <w:r>
        <w:rPr>
          <w:rFonts w:hint="default" w:ascii="Times New Roman" w:hAnsi="Times New Roman" w:eastAsia="宋体" w:cs="Times New Roman"/>
          <w:sz w:val="28"/>
          <w:szCs w:val="28"/>
          <w:highlight w:val="none"/>
          <w:lang w:eastAsia="zh-CN"/>
        </w:rPr>
        <w:t>，20</w:t>
      </w:r>
      <w:r>
        <w:rPr>
          <w:rFonts w:hint="default" w:ascii="Times New Roman" w:hAnsi="Times New Roman" w:eastAsia="宋体" w:cs="Times New Roman"/>
          <w:sz w:val="28"/>
          <w:szCs w:val="28"/>
          <w:highlight w:val="none"/>
          <w:lang w:val="en-US" w:eastAsia="zh-CN"/>
        </w:rPr>
        <w:t>20</w:t>
      </w:r>
      <w:r>
        <w:rPr>
          <w:rFonts w:hint="default" w:ascii="Times New Roman" w:hAnsi="Times New Roman" w:eastAsia="宋体" w:cs="Times New Roman"/>
          <w:sz w:val="28"/>
          <w:szCs w:val="28"/>
          <w:highlight w:val="none"/>
          <w:lang w:eastAsia="zh-CN"/>
        </w:rPr>
        <w:t>年</w:t>
      </w:r>
      <w:r>
        <w:rPr>
          <w:rFonts w:hint="eastAsia" w:ascii="Times New Roman" w:hAnsi="Times New Roman" w:eastAsia="宋体" w:cs="Times New Roman"/>
          <w:sz w:val="28"/>
          <w:szCs w:val="28"/>
          <w:highlight w:val="none"/>
          <w:lang w:val="en-US" w:eastAsia="zh-CN"/>
        </w:rPr>
        <w:t>9</w:t>
      </w:r>
      <w:r>
        <w:rPr>
          <w:rFonts w:hint="default" w:ascii="Times New Roman" w:hAnsi="Times New Roman" w:eastAsia="宋体" w:cs="Times New Roman"/>
          <w:sz w:val="28"/>
          <w:szCs w:val="28"/>
          <w:highlight w:val="none"/>
          <w:lang w:eastAsia="zh-CN"/>
        </w:rPr>
        <w:t>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FF0000"/>
          <w:sz w:val="28"/>
          <w:szCs w:val="28"/>
          <w:highlight w:val="none"/>
          <w:lang w:eastAsia="zh-CN"/>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）卫辉市环境保护局关于《</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新乡市永华机械有限公司年产50台套矿山机械设备项目</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环境影响报告表》的审批意见</w:t>
      </w:r>
      <w:bookmarkStart w:id="7" w:name="_Toc497001434"/>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，卫环告表[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2020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47</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rPr>
      </w:pPr>
      <w:r>
        <w:rPr>
          <w:rFonts w:hint="default" w:ascii="Times New Roman" w:hAnsi="Times New Roman" w:eastAsia="宋体" w:cs="Times New Roman"/>
          <w:b/>
          <w:bCs/>
          <w:sz w:val="36"/>
          <w:szCs w:val="36"/>
          <w:highlight w:val="none"/>
          <w:lang w:val="en-US" w:eastAsia="zh-CN"/>
        </w:rPr>
        <w:t>三、</w:t>
      </w:r>
      <w:r>
        <w:rPr>
          <w:rFonts w:hint="default" w:ascii="Times New Roman" w:hAnsi="Times New Roman" w:eastAsia="宋体" w:cs="Times New Roman"/>
          <w:b/>
          <w:bCs/>
          <w:sz w:val="36"/>
          <w:szCs w:val="36"/>
          <w:highlight w:val="none"/>
        </w:rPr>
        <w:t>工程</w:t>
      </w:r>
      <w:bookmarkEnd w:id="7"/>
      <w:r>
        <w:rPr>
          <w:rFonts w:hint="default" w:ascii="Times New Roman" w:hAnsi="Times New Roman" w:eastAsia="宋体" w:cs="Times New Roman"/>
          <w:b/>
          <w:bCs/>
          <w:sz w:val="36"/>
          <w:szCs w:val="36"/>
          <w:highlight w:val="none"/>
          <w:lang w:eastAsia="zh-CN"/>
        </w:rPr>
        <w:t>建设情况</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sz w:val="30"/>
          <w:szCs w:val="30"/>
          <w:highlight w:val="none"/>
          <w:lang w:val="en-US" w:eastAsia="zh-CN"/>
        </w:rPr>
      </w:pPr>
      <w:bookmarkStart w:id="8" w:name="_Toc497001435"/>
      <w:r>
        <w:rPr>
          <w:rFonts w:hint="default" w:ascii="Times New Roman" w:hAnsi="Times New Roman" w:eastAsia="宋体" w:cs="Times New Roman"/>
          <w:b/>
          <w:bCs/>
          <w:sz w:val="30"/>
          <w:szCs w:val="30"/>
          <w:highlight w:val="none"/>
          <w:lang w:val="en-US" w:eastAsia="zh-CN"/>
        </w:rPr>
        <w:t>1.地理位置及平面布置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本项目位于卫辉市唐庄镇盆爻村，项目占地面积17204平方米，所在地四周环境为：</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项目四周</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为农田，</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东侧</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隔农田60m为停车场。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项目周围主要环境敏感点为东北侧252m为田窑村、南侧155m为盆窑村和东南侧1144.37m为南水北调干渠。项目周围环境概况见图1</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w:t>
      </w:r>
    </w:p>
    <w:p>
      <w:pPr>
        <w:pStyle w:val="2"/>
        <w:rPr>
          <w:rFonts w:hint="default"/>
          <w:lang w:eastAsia="zh-CN"/>
        </w:rPr>
      </w:pPr>
      <w:r>
        <w:rPr>
          <w:rFonts w:hint="default" w:ascii="Times New Roman" w:hAnsi="Times New Roman" w:eastAsia="宋体" w:cs="Times New Roman"/>
          <w:sz w:val="21"/>
          <w:highlight w:val="yellow"/>
        </w:rPr>
        <mc:AlternateContent>
          <mc:Choice Requires="wps">
            <w:drawing>
              <wp:anchor distT="0" distB="0" distL="114300" distR="114300" simplePos="0" relativeHeight="1486711808" behindDoc="0" locked="0" layoutInCell="1" allowOverlap="1">
                <wp:simplePos x="0" y="0"/>
                <wp:positionH relativeFrom="column">
                  <wp:posOffset>1548130</wp:posOffset>
                </wp:positionH>
                <wp:positionV relativeFrom="paragraph">
                  <wp:posOffset>2917190</wp:posOffset>
                </wp:positionV>
                <wp:extent cx="2676525" cy="461010"/>
                <wp:effectExtent l="0" t="0" r="5715" b="11430"/>
                <wp:wrapNone/>
                <wp:docPr id="54" name="文本框 54"/>
                <wp:cNvGraphicFramePr/>
                <a:graphic xmlns:a="http://schemas.openxmlformats.org/drawingml/2006/main">
                  <a:graphicData uri="http://schemas.microsoft.com/office/word/2010/wordprocessingShape">
                    <wps:wsp>
                      <wps:cNvSpPr txBox="1"/>
                      <wps:spPr>
                        <a:xfrm>
                          <a:off x="2230120" y="9484360"/>
                          <a:ext cx="2676525" cy="461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right="0" w:rightChars="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图</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地理位置示意</w:t>
                            </w:r>
                            <w:r>
                              <w:rPr>
                                <w:rFonts w:hint="default" w:ascii="Times New Roman" w:hAnsi="Times New Roman" w:eastAsia="宋体" w:cs="Times New Roman"/>
                                <w:color w:val="auto"/>
                                <w:sz w:val="24"/>
                                <w:szCs w:val="24"/>
                              </w:rPr>
                              <w:t>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9pt;margin-top:229.7pt;height:36.3pt;width:210.75pt;z-index:1486711808;mso-width-relative:page;mso-height-relative:page;" filled="f" stroked="f" coordsize="21600,21600" o:gfxdata="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F5H4h2wAAAAsBAAAPAAAAAAAA&#10;AAEAIAAAACIAAABkcnMvZG93bnJldi54bWxQSwECFAAUAAAACACHTuJAJLjIo0gCAAB0BAAADgAA&#10;AAAAAAABACAAAAAq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right="0" w:rightChars="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图</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地理位置示意</w:t>
                      </w:r>
                      <w:r>
                        <w:rPr>
                          <w:rFonts w:hint="default" w:ascii="Times New Roman" w:hAnsi="Times New Roman" w:eastAsia="宋体" w:cs="Times New Roman"/>
                          <w:color w:val="auto"/>
                          <w:sz w:val="24"/>
                          <w:szCs w:val="24"/>
                        </w:rPr>
                        <w:t>图</w:t>
                      </w:r>
                    </w:p>
                    <w:p/>
                  </w:txbxContent>
                </v:textbox>
              </v:shape>
            </w:pict>
          </mc:Fallback>
        </mc:AlternateContent>
      </w:r>
      <w:r>
        <w:rPr>
          <w:rFonts w:hint="eastAsia" w:ascii="Times New Roman" w:hAnsi="Times New Roman" w:cs="Times New Roman"/>
          <w:lang w:val="en-US" w:eastAsia="zh-CN"/>
        </w:rPr>
        <w:t xml:space="preserve">    </w:t>
      </w:r>
      <w:r>
        <w:rPr>
          <w:rFonts w:hint="default" w:ascii="Times New Roman" w:hAnsi="Times New Roman" w:eastAsia="宋体" w:cs="Times New Roman"/>
          <w:sz w:val="24"/>
          <w:highlight w:val="none"/>
        </w:rPr>
        <w:drawing>
          <wp:inline distT="0" distB="0" distL="114300" distR="114300">
            <wp:extent cx="5027930" cy="2550160"/>
            <wp:effectExtent l="0" t="0" r="1270" b="2540"/>
            <wp:docPr id="48" name="图片 48" descr="C:\Users\gaofei\Desktop\QQ截图20161229083133.pngQQ截图2016122908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gaofei\Desktop\QQ截图20161229083133.pngQQ截图20161229083133"/>
                    <pic:cNvPicPr>
                      <a:picLocks noChangeAspect="1"/>
                    </pic:cNvPicPr>
                  </pic:nvPicPr>
                  <pic:blipFill>
                    <a:blip r:embed="rId6"/>
                    <a:srcRect/>
                    <a:stretch>
                      <a:fillRect/>
                    </a:stretch>
                  </pic:blipFill>
                  <pic:spPr>
                    <a:xfrm>
                      <a:off x="0" y="0"/>
                      <a:ext cx="5027930" cy="2550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auto"/>
          <w:sz w:val="28"/>
          <w:szCs w:val="28"/>
          <w:highlight w:val="none"/>
        </w:rPr>
        <w:t>主要</w:t>
      </w:r>
      <w:r>
        <w:rPr>
          <w:rFonts w:hint="eastAsia" w:ascii="Times New Roman" w:hAnsi="Times New Roman" w:eastAsia="宋体" w:cs="Times New Roman"/>
          <w:color w:val="auto"/>
          <w:sz w:val="28"/>
          <w:szCs w:val="28"/>
          <w:highlight w:val="none"/>
          <w:lang w:eastAsia="zh-CN"/>
        </w:rPr>
        <w:t>构筑物</w:t>
      </w:r>
      <w:r>
        <w:rPr>
          <w:rFonts w:hint="default" w:ascii="Times New Roman" w:hAnsi="Times New Roman" w:eastAsia="宋体" w:cs="Times New Roman"/>
          <w:color w:val="auto"/>
          <w:sz w:val="28"/>
          <w:szCs w:val="28"/>
          <w:highlight w:val="none"/>
        </w:rPr>
        <w:t>包括生产车间、办公区、仓库、门卫室、地轨区等</w:t>
      </w:r>
      <w:r>
        <w:rPr>
          <w:rFonts w:hint="eastAsia"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项目</w:t>
      </w:r>
      <w:r>
        <w:rPr>
          <w:rFonts w:hint="default" w:ascii="Times New Roman" w:hAnsi="Times New Roman" w:eastAsia="宋体" w:cs="Times New Roman"/>
          <w:color w:val="auto"/>
          <w:sz w:val="28"/>
          <w:szCs w:val="28"/>
          <w:highlight w:val="none"/>
          <w:lang w:eastAsia="zh-CN"/>
        </w:rPr>
        <w:t>厂区</w:t>
      </w:r>
      <w:r>
        <w:rPr>
          <w:rFonts w:hint="default" w:ascii="Times New Roman" w:hAnsi="Times New Roman" w:eastAsia="宋体" w:cs="Times New Roman"/>
          <w:color w:val="auto"/>
          <w:sz w:val="28"/>
          <w:szCs w:val="28"/>
          <w:highlight w:val="none"/>
        </w:rPr>
        <w:t>平面布置</w:t>
      </w:r>
      <w:r>
        <w:rPr>
          <w:rFonts w:hint="eastAsia" w:ascii="Times New Roman" w:hAnsi="Times New Roman" w:eastAsia="宋体" w:cs="Times New Roman"/>
          <w:color w:val="auto"/>
          <w:sz w:val="28"/>
          <w:szCs w:val="28"/>
          <w:highlight w:val="none"/>
          <w:lang w:eastAsia="zh-CN"/>
        </w:rPr>
        <w:t>及监测点位</w:t>
      </w:r>
      <w:r>
        <w:rPr>
          <w:rFonts w:hint="default" w:ascii="Times New Roman" w:hAnsi="Times New Roman" w:eastAsia="宋体" w:cs="Times New Roman"/>
          <w:color w:val="auto"/>
          <w:sz w:val="28"/>
          <w:szCs w:val="28"/>
          <w:highlight w:val="none"/>
        </w:rPr>
        <w:t>见图</w:t>
      </w:r>
      <w:r>
        <w:rPr>
          <w:rFonts w:hint="default"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rPr>
        <w:t>。</w:t>
      </w:r>
      <w:bookmarkEnd w:id="8"/>
      <w:bookmarkStart w:id="9" w:name="_Toc497001439"/>
      <w:r>
        <w:rPr>
          <w:rFonts w:hint="default" w:ascii="Times New Roman" w:hAnsi="Times New Roman" w:eastAsia="宋体" w:cs="Times New Roman"/>
          <w:color w:val="FF0000"/>
          <w:highlight w:val="none"/>
          <w:lang w:val="en-US" w:eastAsia="zh-CN"/>
        </w:rPr>
        <w:t xml:space="preserve"> </w:t>
      </w:r>
    </w:p>
    <w:p>
      <w:pPr>
        <w:pStyle w:val="2"/>
        <w:rPr>
          <w:rFonts w:hint="default"/>
          <w:lang w:val="en-US"/>
        </w:rPr>
      </w:pPr>
      <w:r>
        <w:drawing>
          <wp:anchor distT="0" distB="0" distL="114300" distR="114300" simplePos="0" relativeHeight="2030817280" behindDoc="0" locked="0" layoutInCell="1" allowOverlap="1">
            <wp:simplePos x="0" y="0"/>
            <wp:positionH relativeFrom="column">
              <wp:posOffset>8246110</wp:posOffset>
            </wp:positionH>
            <wp:positionV relativeFrom="paragraph">
              <wp:posOffset>-5600700</wp:posOffset>
            </wp:positionV>
            <wp:extent cx="618490" cy="767080"/>
            <wp:effectExtent l="0" t="0" r="10160" b="13970"/>
            <wp:wrapNone/>
            <wp:docPr id="2" name="图片 38"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风玫瑰"/>
                    <pic:cNvPicPr>
                      <a:picLocks noChangeAspect="1"/>
                    </pic:cNvPicPr>
                  </pic:nvPicPr>
                  <pic:blipFill>
                    <a:blip r:embed="rId7"/>
                    <a:stretch>
                      <a:fillRect/>
                    </a:stretch>
                  </pic:blipFill>
                  <pic:spPr>
                    <a:xfrm>
                      <a:off x="0" y="0"/>
                      <a:ext cx="618490" cy="767080"/>
                    </a:xfrm>
                    <a:prstGeom prst="rect">
                      <a:avLst/>
                    </a:prstGeom>
                    <a:noFill/>
                    <a:ln w="9525">
                      <a:noFill/>
                    </a:ln>
                  </pic:spPr>
                </pic:pic>
              </a:graphicData>
            </a:graphic>
          </wp:anchor>
        </w:drawing>
      </w:r>
      <w:r>
        <w:drawing>
          <wp:anchor distT="0" distB="0" distL="114300" distR="114300" simplePos="0" relativeHeight="2030817280" behindDoc="0" locked="0" layoutInCell="1" allowOverlap="1">
            <wp:simplePos x="0" y="0"/>
            <wp:positionH relativeFrom="column">
              <wp:posOffset>8093710</wp:posOffset>
            </wp:positionH>
            <wp:positionV relativeFrom="paragraph">
              <wp:posOffset>-5753100</wp:posOffset>
            </wp:positionV>
            <wp:extent cx="618490" cy="767080"/>
            <wp:effectExtent l="0" t="0" r="10160" b="13970"/>
            <wp:wrapNone/>
            <wp:docPr id="1" name="图片 38" descr="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风玫瑰"/>
                    <pic:cNvPicPr>
                      <a:picLocks noChangeAspect="1"/>
                    </pic:cNvPicPr>
                  </pic:nvPicPr>
                  <pic:blipFill>
                    <a:blip r:embed="rId7"/>
                    <a:stretch>
                      <a:fillRect/>
                    </a:stretch>
                  </pic:blipFill>
                  <pic:spPr>
                    <a:xfrm>
                      <a:off x="0" y="0"/>
                      <a:ext cx="618490" cy="767080"/>
                    </a:xfrm>
                    <a:prstGeom prst="rect">
                      <a:avLst/>
                    </a:prstGeom>
                    <a:noFill/>
                    <a:ln w="9525">
                      <a:noFill/>
                    </a:ln>
                  </pic:spPr>
                </pic:pic>
              </a:graphicData>
            </a:graphic>
          </wp:anchor>
        </w:drawing>
      </w:r>
    </w:p>
    <w:p>
      <w:pPr>
        <w:pStyle w:val="2"/>
        <w:rPr>
          <w:rFonts w:hint="default" w:ascii="Times New Roman" w:hAnsi="Times New Roman" w:eastAsia="宋体" w:cs="Times New Roman"/>
          <w:highlight w:val="yellow"/>
        </w:rPr>
      </w:pPr>
      <w:r>
        <w:rPr>
          <w:sz w:val="30"/>
        </w:rPr>
        <mc:AlternateContent>
          <mc:Choice Requires="wps">
            <w:drawing>
              <wp:anchor distT="0" distB="0" distL="114300" distR="114300" simplePos="0" relativeHeight="3026362368" behindDoc="0" locked="0" layoutInCell="1" allowOverlap="1">
                <wp:simplePos x="0" y="0"/>
                <wp:positionH relativeFrom="column">
                  <wp:posOffset>470535</wp:posOffset>
                </wp:positionH>
                <wp:positionV relativeFrom="paragraph">
                  <wp:posOffset>3369310</wp:posOffset>
                </wp:positionV>
                <wp:extent cx="142875" cy="142875"/>
                <wp:effectExtent l="6350" t="6350" r="22225" b="22225"/>
                <wp:wrapNone/>
                <wp:docPr id="30" name="同心圆 30"/>
                <wp:cNvGraphicFramePr/>
                <a:graphic xmlns:a="http://schemas.openxmlformats.org/drawingml/2006/main">
                  <a:graphicData uri="http://schemas.microsoft.com/office/word/2010/wordprocessingShape">
                    <wps:wsp>
                      <wps:cNvSpPr/>
                      <wps:spPr>
                        <a:xfrm>
                          <a:off x="0" y="0"/>
                          <a:ext cx="142875" cy="142875"/>
                        </a:xfrm>
                        <a:prstGeom prst="don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7.05pt;margin-top:265.3pt;height:11.25pt;width:11.25pt;z-index:-1268604928;v-text-anchor:middle;mso-width-relative:page;mso-height-relative:page;" fillcolor="#FFFFFF [3201]" filled="t" stroked="t" coordsize="21600,21600" o:gfxdata="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jpUOi1gAAAAkBAAAPAAAAAAAAAAEAIAAAACIAAABkcnMv&#10;ZG93bnJldi54bWxQSwECFAAUAAAACACHTuJAH8Un8ncCAAAEBQAADgAAAAAAAAABACAAAAAlAQAA&#10;ZHJzL2Uyb0RvYy54bWxQSwUGAAAAAAYABgBZAQAADgYAAAAA&#10;" adj="5400">
                <v:fill on="t" focussize="0,0"/>
                <v:stroke weight="1pt" color="#000000 [3213]" miterlimit="8" joinstyle="miter"/>
                <v:imagedata o:title=""/>
                <o:lock v:ext="edit" aspectratio="f"/>
                <v:textbox>
                  <w:txbxContent>
                    <w:p>
                      <w:pPr>
                        <w:jc w:val="center"/>
                      </w:pPr>
                    </w:p>
                  </w:txbxContent>
                </v:textbox>
              </v:shape>
            </w:pict>
          </mc:Fallback>
        </mc:AlternateContent>
      </w:r>
      <w:r>
        <w:rPr>
          <w:sz w:val="30"/>
        </w:rPr>
        <mc:AlternateContent>
          <mc:Choice Requires="wps">
            <w:drawing>
              <wp:anchor distT="0" distB="0" distL="114300" distR="114300" simplePos="0" relativeHeight="3533116416" behindDoc="0" locked="0" layoutInCell="1" allowOverlap="1">
                <wp:simplePos x="0" y="0"/>
                <wp:positionH relativeFrom="column">
                  <wp:posOffset>60960</wp:posOffset>
                </wp:positionH>
                <wp:positionV relativeFrom="paragraph">
                  <wp:posOffset>3312160</wp:posOffset>
                </wp:positionV>
                <wp:extent cx="142875" cy="142875"/>
                <wp:effectExtent l="6350" t="6350" r="22225" b="22225"/>
                <wp:wrapNone/>
                <wp:docPr id="26" name="同心圆 26"/>
                <wp:cNvGraphicFramePr/>
                <a:graphic xmlns:a="http://schemas.openxmlformats.org/drawingml/2006/main">
                  <a:graphicData uri="http://schemas.microsoft.com/office/word/2010/wordprocessingShape">
                    <wps:wsp>
                      <wps:cNvSpPr/>
                      <wps:spPr>
                        <a:xfrm>
                          <a:off x="0" y="0"/>
                          <a:ext cx="142875" cy="142875"/>
                        </a:xfrm>
                        <a:prstGeom prst="don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4.8pt;margin-top:260.8pt;height:11.25pt;width:11.25pt;z-index:-761850880;v-text-anchor:middle;mso-width-relative:page;mso-height-relative:page;" fillcolor="#FFFFFF [3201]" filled="t" stroked="t" coordsize="21600,21600" o:gfxdata="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uYdcZ1QAAAAgBAAAPAAAAAAAAAAEAIAAAACIAAABkcnMv&#10;ZG93bnJldi54bWxQSwECFAAUAAAACACHTuJAV5g4NXgCAAAEBQAADgAAAAAAAAABACAAAAAkAQAA&#10;ZHJzL2Uyb0RvYy54bWxQSwUGAAAAAAYABgBZAQAADgYAAAAA&#10;" adj="5400">
                <v:fill on="t" focussize="0,0"/>
                <v:stroke weight="1pt" color="#000000 [3213]" miterlimit="8" joinstyle="miter"/>
                <v:imagedata o:title=""/>
                <o:lock v:ext="edit" aspectratio="f"/>
                <v:textbox>
                  <w:txbxContent>
                    <w:p>
                      <w:pPr>
                        <w:jc w:val="center"/>
                      </w:pPr>
                    </w:p>
                  </w:txbxContent>
                </v:textbox>
              </v:shape>
            </w:pict>
          </mc:Fallback>
        </mc:AlternateContent>
      </w:r>
      <w:r>
        <w:rPr>
          <w:sz w:val="30"/>
        </w:rPr>
        <mc:AlternateContent>
          <mc:Choice Requires="wps">
            <w:drawing>
              <wp:anchor distT="0" distB="0" distL="114300" distR="114300" simplePos="0" relativeHeight="3026362368" behindDoc="0" locked="0" layoutInCell="1" allowOverlap="1">
                <wp:simplePos x="0" y="0"/>
                <wp:positionH relativeFrom="column">
                  <wp:posOffset>32385</wp:posOffset>
                </wp:positionH>
                <wp:positionV relativeFrom="paragraph">
                  <wp:posOffset>2788285</wp:posOffset>
                </wp:positionV>
                <wp:extent cx="142875" cy="142875"/>
                <wp:effectExtent l="6350" t="6350" r="22225" b="22225"/>
                <wp:wrapNone/>
                <wp:docPr id="27" name="同心圆 27"/>
                <wp:cNvGraphicFramePr/>
                <a:graphic xmlns:a="http://schemas.openxmlformats.org/drawingml/2006/main">
                  <a:graphicData uri="http://schemas.microsoft.com/office/word/2010/wordprocessingShape">
                    <wps:wsp>
                      <wps:cNvSpPr/>
                      <wps:spPr>
                        <a:xfrm>
                          <a:off x="0" y="0"/>
                          <a:ext cx="142875" cy="142875"/>
                        </a:xfrm>
                        <a:prstGeom prst="don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55pt;margin-top:219.55pt;height:11.25pt;width:11.25pt;z-index:-1268604928;v-text-anchor:middle;mso-width-relative:page;mso-height-relative:page;" fillcolor="#FFFFFF [3201]" filled="t" stroked="t" coordsize="21600,21600" o:gfxdata="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E4WF01QAAAAgBAAAPAAAAAAAAAAEAIAAAACIAAABkcnMv&#10;ZG93bnJldi54bWxQSwECFAAUAAAACACHTuJASkfLBHgCAAAEBQAADgAAAAAAAAABACAAAAAkAQAA&#10;ZHJzL2Uyb0RvYy54bWxQSwUGAAAAAAYABgBZAQAADgYAAAAA&#10;" adj="5400">
                <v:fill on="t" focussize="0,0"/>
                <v:stroke weight="1pt" color="#000000 [3213]" miterlimit="8" joinstyle="miter"/>
                <v:imagedata o:title=""/>
                <o:lock v:ext="edit" aspectratio="f"/>
                <v:textbox>
                  <w:txbxContent>
                    <w:p>
                      <w:pPr>
                        <w:jc w:val="center"/>
                      </w:pPr>
                    </w:p>
                  </w:txbxContent>
                </v:textbox>
              </v:shape>
            </w:pict>
          </mc:Fallback>
        </mc:AlternateContent>
      </w:r>
      <w:r>
        <w:rPr>
          <w:sz w:val="30"/>
        </w:rPr>
        <mc:AlternateContent>
          <mc:Choice Requires="wps">
            <w:drawing>
              <wp:anchor distT="0" distB="0" distL="114300" distR="114300" simplePos="0" relativeHeight="3533114368" behindDoc="0" locked="0" layoutInCell="1" allowOverlap="1">
                <wp:simplePos x="0" y="0"/>
                <wp:positionH relativeFrom="column">
                  <wp:posOffset>2585085</wp:posOffset>
                </wp:positionH>
                <wp:positionV relativeFrom="paragraph">
                  <wp:posOffset>3353435</wp:posOffset>
                </wp:positionV>
                <wp:extent cx="123825" cy="123825"/>
                <wp:effectExtent l="10160" t="13970" r="18415" b="14605"/>
                <wp:wrapNone/>
                <wp:docPr id="23" name="等腰三角形 23"/>
                <wp:cNvGraphicFramePr/>
                <a:graphic xmlns:a="http://schemas.openxmlformats.org/drawingml/2006/main">
                  <a:graphicData uri="http://schemas.microsoft.com/office/word/2010/wordprocessingShape">
                    <wps:wsp>
                      <wps:cNvSpPr/>
                      <wps:spPr>
                        <a:xfrm>
                          <a:off x="0" y="0"/>
                          <a:ext cx="123825" cy="123825"/>
                        </a:xfrm>
                        <a:prstGeom prst="triangle">
                          <a:avLst/>
                        </a:prstGeom>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03.55pt;margin-top:264.05pt;height:9.75pt;width:9.75pt;z-index:-761852928;v-text-anchor:middle;mso-width-relative:page;mso-height-relative:page;" fillcolor="#000000 [3200]" filled="t" stroked="t" coordsize="21600,21600" o:gfxdata="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ErTAJ&#10;2gAAAAsBAAAPAAAAAAAAAAEAIAAAACIAAABkcnMvZG93bnJldi54bWxQSwECFAAUAAAACACHTuJA&#10;3y7qi5ECAAAuBQAADgAAAAAAAAABACAAAAApAQAAZHJzL2Uyb0RvYy54bWxQSwUGAAAAAAYABgBZ&#10;AQAALAYAAAAA&#10;" adj="10800">
                <v:fill on="t" focussize="0,0"/>
                <v:stroke weight="1pt" color="#000000 [3200]" miterlimit="8" joinstyle="miter"/>
                <v:imagedata o:title=""/>
                <o:lock v:ext="edit" aspectratio="f"/>
                <v:textbox>
                  <w:txbxContent>
                    <w:p>
                      <w:pPr>
                        <w:jc w:val="center"/>
                      </w:pPr>
                    </w:p>
                  </w:txbxContent>
                </v:textbox>
              </v:shape>
            </w:pict>
          </mc:Fallback>
        </mc:AlternateContent>
      </w:r>
      <w:r>
        <w:rPr>
          <w:rFonts w:hint="default" w:ascii="Times New Roman" w:hAnsi="Times New Roman" w:eastAsia="宋体" w:cs="Times New Roman"/>
          <w:color w:val="auto"/>
          <w:highlight w:val="none"/>
        </w:rPr>
        <mc:AlternateContent>
          <mc:Choice Requires="wps">
            <w:drawing>
              <wp:anchor distT="0" distB="0" distL="114300" distR="114300" simplePos="0" relativeHeight="2145762304" behindDoc="0" locked="0" layoutInCell="1" allowOverlap="1">
                <wp:simplePos x="0" y="0"/>
                <wp:positionH relativeFrom="column">
                  <wp:posOffset>7721600</wp:posOffset>
                </wp:positionH>
                <wp:positionV relativeFrom="paragraph">
                  <wp:posOffset>410845</wp:posOffset>
                </wp:positionV>
                <wp:extent cx="84455" cy="75565"/>
                <wp:effectExtent l="10795" t="12700" r="19050" b="6985"/>
                <wp:wrapNone/>
                <wp:docPr id="49" name="等腰三角形 49"/>
                <wp:cNvGraphicFramePr/>
                <a:graphic xmlns:a="http://schemas.openxmlformats.org/drawingml/2006/main">
                  <a:graphicData uri="http://schemas.microsoft.com/office/word/2010/wordprocessingShape">
                    <wps:wsp>
                      <wps:cNvSpPr/>
                      <wps:spPr>
                        <a:xfrm>
                          <a:off x="0" y="0"/>
                          <a:ext cx="84455" cy="7556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608pt;margin-top:32.35pt;height:5.95pt;width:6.65pt;z-index:2145762304;v-text-anchor:middle;mso-width-relative:page;mso-height-relative:page;" fillcolor="#000000 [3213]" filled="t" stroked="t" coordsize="21600,21600" o:gfxdata="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VV9dX2gAAAAsBAAAPAAAAAAAAAAEAIAAA&#10;ACIAAABkcnMvZG93bnJldi54bWxQSwECFAAUAAAACACHTuJAz1ZjjnwCAAAABQAADgAAAAAAAAAB&#10;ACAAAAApAQAAZHJzL2Uyb0RvYy54bWxQSwUGAAAAAAYABgBZAQAAFwYAAAAA&#10;" adj="10800">
                <v:fill on="t" focussize="0,0"/>
                <v:stroke weight="1pt" color="#000000 [3213]" miterlimit="8" joinstyle="miter"/>
                <v:imagedata o:title=""/>
                <o:lock v:ext="edit" aspectratio="f"/>
              </v:shape>
            </w:pict>
          </mc:Fallback>
        </mc:AlternateContent>
      </w:r>
    </w:p>
    <w:p>
      <w:pPr>
        <w:pStyle w:val="2"/>
        <w:ind w:firstLine="964" w:firstLineChars="4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
        <w:ind w:firstLine="964" w:firstLineChars="4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pStyle w:val="2"/>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highlight w:val="none"/>
          <w:lang w:val="en-US" w:eastAsia="zh-CN"/>
        </w:rPr>
        <w:t xml:space="preserve">  </w:t>
      </w:r>
      <w:r>
        <w:drawing>
          <wp:inline distT="0" distB="0" distL="114300" distR="114300">
            <wp:extent cx="5219700" cy="39814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19700" cy="3981450"/>
                    </a:xfrm>
                    <a:prstGeom prst="rect">
                      <a:avLst/>
                    </a:prstGeom>
                    <a:noFill/>
                    <a:ln>
                      <a:noFill/>
                    </a:ln>
                  </pic:spPr>
                </pic:pic>
              </a:graphicData>
            </a:graphic>
          </wp:inline>
        </w:drawing>
      </w:r>
    </w:p>
    <w:p>
      <w:pPr>
        <w:pStyle w:val="2"/>
        <w:jc w:val="center"/>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图2     厂区平面布置</w:t>
      </w:r>
      <w:r>
        <w:rPr>
          <w:rFonts w:hint="eastAsia" w:ascii="Times New Roman" w:hAnsi="Times New Roman" w:cs="Times New Roman"/>
          <w:b w:val="0"/>
          <w:bCs/>
          <w:color w:val="000000" w:themeColor="text1"/>
          <w:sz w:val="24"/>
          <w:szCs w:val="24"/>
          <w:lang w:val="en-US" w:eastAsia="zh-CN"/>
          <w14:textFill>
            <w14:solidFill>
              <w14:schemeClr w14:val="tx1"/>
            </w14:solidFill>
          </w14:textFill>
        </w:rPr>
        <w:t>及监测点位图</w:t>
      </w:r>
    </w:p>
    <w:p>
      <w:pPr>
        <w:pStyle w:val="2"/>
        <w:rPr>
          <w:rFonts w:hint="default" w:ascii="Times New Roman" w:hAnsi="Times New Roman" w:eastAsia="宋体" w:cs="Times New Roman"/>
          <w:b/>
          <w:bCs/>
          <w:highlight w:val="none"/>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b/>
          <w:bCs/>
          <w:highlight w:val="none"/>
        </w:rPr>
        <w:t>建设内容</w:t>
      </w:r>
      <w:bookmarkEnd w:id="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eastAsia="zh-CN"/>
        </w:rPr>
      </w:pPr>
      <w:bookmarkStart w:id="10" w:name="_Toc497001440"/>
      <w:bookmarkStart w:id="11" w:name="_Toc496979004"/>
      <w:r>
        <w:rPr>
          <w:rFonts w:hint="default" w:ascii="Times New Roman" w:hAnsi="Times New Roman" w:eastAsia="宋体" w:cs="Times New Roman"/>
          <w:b w:val="0"/>
          <w:bCs w:val="0"/>
          <w:sz w:val="28"/>
          <w:szCs w:val="28"/>
          <w:highlight w:val="none"/>
        </w:rPr>
        <w:t>2.1 项目</w:t>
      </w:r>
      <w:r>
        <w:rPr>
          <w:rFonts w:hint="default" w:ascii="Times New Roman" w:hAnsi="Times New Roman" w:eastAsia="宋体" w:cs="Times New Roman"/>
          <w:b w:val="0"/>
          <w:bCs w:val="0"/>
          <w:sz w:val="28"/>
          <w:szCs w:val="28"/>
          <w:highlight w:val="none"/>
          <w:lang w:eastAsia="zh-CN"/>
        </w:rPr>
        <w:t>基本情况</w:t>
      </w:r>
    </w:p>
    <w:p>
      <w:pPr>
        <w:pStyle w:val="2"/>
        <w:rPr>
          <w:rFonts w:hint="default" w:ascii="Times New Roman" w:hAnsi="Times New Roman" w:eastAsia="宋体" w:cs="Times New Roman"/>
          <w:lang w:val="en-US" w:eastAsia="zh-CN"/>
        </w:rPr>
      </w:pPr>
      <w:r>
        <w:rPr>
          <w:rFonts w:hint="default" w:ascii="Times New Roman" w:hAnsi="Times New Roman" w:eastAsia="宋体" w:cs="Times New Roman"/>
          <w:b w:val="0"/>
          <w:bCs w:val="0"/>
          <w:sz w:val="28"/>
          <w:szCs w:val="28"/>
          <w:highlight w:val="none"/>
          <w:lang w:eastAsia="zh-CN"/>
        </w:rPr>
        <w:t>如表</w:t>
      </w:r>
      <w:r>
        <w:rPr>
          <w:rFonts w:hint="default" w:ascii="Times New Roman" w:hAnsi="Times New Roman" w:eastAsia="宋体" w:cs="Times New Roman"/>
          <w:b w:val="0"/>
          <w:bCs w:val="0"/>
          <w:sz w:val="28"/>
          <w:szCs w:val="28"/>
          <w:highlight w:val="none"/>
          <w:lang w:val="en-US" w:eastAsia="zh-CN"/>
        </w:rPr>
        <w:t>1所示：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1</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项目</w:t>
      </w:r>
      <w:r>
        <w:rPr>
          <w:rFonts w:hint="default" w:ascii="Times New Roman" w:hAnsi="Times New Roman" w:eastAsia="宋体" w:cs="Times New Roman"/>
          <w:sz w:val="28"/>
          <w:szCs w:val="28"/>
          <w:highlight w:val="none"/>
          <w:lang w:eastAsia="zh-CN"/>
        </w:rPr>
        <w:t>基本情况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869"/>
        <w:gridCol w:w="1880"/>
        <w:gridCol w:w="1874"/>
        <w:gridCol w:w="289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项目名称</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年产50台套矿山机械设备项目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新乡市永华机械有限公司</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法人代表</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highlight w:val="none"/>
              </w:rPr>
              <w:t>张涛</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联系人</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sz w:val="24"/>
                <w:highlight w:val="none"/>
              </w:rPr>
              <w:t>刘万强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通信地址</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eastAsia="zh-CN"/>
              </w:rPr>
              <w:t>卫辉市唐庄镇盆爻村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联系电话</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highlight w:val="none"/>
              </w:rPr>
              <w:t>13419851888</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邮编</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highlight w:val="none"/>
              </w:rPr>
              <w:t>453109</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项目性质</w:t>
            </w:r>
          </w:p>
        </w:tc>
        <w:tc>
          <w:tcPr>
            <w:tcW w:w="1880" w:type="dxa"/>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改扩建</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行业类别</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0"/>
                <w:sz w:val="24"/>
                <w:highlight w:val="none"/>
              </w:rPr>
              <w:t>C</w:t>
            </w:r>
            <w:r>
              <w:rPr>
                <w:rFonts w:hint="default" w:ascii="Times New Roman" w:hAnsi="Times New Roman" w:eastAsia="宋体" w:cs="Times New Roman"/>
                <w:kern w:val="0"/>
                <w:sz w:val="24"/>
                <w:highlight w:val="none"/>
                <w:lang w:val="en-US" w:eastAsia="zh-CN"/>
              </w:rPr>
              <w:t>3511矿山机械制造</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建设地点</w:t>
            </w:r>
          </w:p>
        </w:tc>
        <w:tc>
          <w:tcPr>
            <w:tcW w:w="6653"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rPr>
            </w:pPr>
            <w:r>
              <w:rPr>
                <w:rFonts w:hint="eastAsia" w:ascii="Times New Roman" w:hAnsi="Times New Roman" w:eastAsia="宋体" w:cs="Times New Roman"/>
                <w:sz w:val="24"/>
                <w:szCs w:val="24"/>
                <w:highlight w:val="none"/>
                <w:lang w:eastAsia="zh-CN"/>
              </w:rPr>
              <w:t>卫辉市唐庄镇盆爻村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占地</w:t>
            </w:r>
            <w:r>
              <w:rPr>
                <w:rFonts w:hint="default" w:ascii="Times New Roman" w:hAnsi="Times New Roman" w:eastAsia="宋体" w:cs="Times New Roman"/>
                <w:sz w:val="24"/>
                <w:szCs w:val="24"/>
                <w:highlight w:val="none"/>
              </w:rPr>
              <w:t>面积</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highlight w:val="none"/>
              </w:rPr>
              <w:t>17204</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lang w:val="en-US" w:eastAsia="zh-CN"/>
              </w:rPr>
              <w:t>2</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经纬度</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sz w:val="24"/>
                <w:szCs w:val="24"/>
                <w:highlight w:val="none"/>
              </w:rPr>
              <w:t>经</w:t>
            </w:r>
            <w:r>
              <w:rPr>
                <w:rFonts w:hint="default" w:ascii="Times New Roman" w:hAnsi="Times New Roman" w:eastAsia="宋体" w:cs="Times New Roman"/>
                <w:sz w:val="24"/>
                <w:szCs w:val="24"/>
                <w:highlight w:val="none"/>
                <w:lang w:eastAsia="zh-CN"/>
              </w:rPr>
              <w:t>度：</w:t>
            </w:r>
            <w:r>
              <w:rPr>
                <w:rFonts w:hint="eastAsia" w:ascii="Times New Roman" w:hAnsi="Times New Roman" w:eastAsia="宋体" w:cs="Times New Roman"/>
                <w:sz w:val="24"/>
                <w:szCs w:val="24"/>
                <w:highlight w:val="none"/>
                <w:lang w:val="en-US" w:eastAsia="zh-CN"/>
              </w:rPr>
              <w:t>113.969378</w:t>
            </w:r>
            <w:r>
              <w:rPr>
                <w:rFonts w:hint="default" w:ascii="Times New Roman" w:hAnsi="Times New Roman" w:eastAsia="宋体" w:cs="Times New Roman"/>
                <w:sz w:val="24"/>
                <w:szCs w:val="24"/>
                <w:highlight w:val="none"/>
                <w:lang w:val="en-US" w:eastAsia="zh-CN"/>
              </w:rPr>
              <w:t>°</w:t>
            </w:r>
          </w:p>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纬</w:t>
            </w:r>
            <w:r>
              <w:rPr>
                <w:rFonts w:hint="default" w:ascii="Times New Roman" w:hAnsi="Times New Roman" w:eastAsia="宋体" w:cs="Times New Roman"/>
                <w:sz w:val="24"/>
                <w:szCs w:val="24"/>
                <w:highlight w:val="none"/>
                <w:lang w:eastAsia="zh-CN"/>
              </w:rPr>
              <w:t>度：</w:t>
            </w:r>
            <w:r>
              <w:rPr>
                <w:rFonts w:hint="default" w:ascii="Times New Roman" w:hAnsi="Times New Roman" w:eastAsia="宋体" w:cs="Times New Roman"/>
                <w:sz w:val="24"/>
                <w:szCs w:val="24"/>
                <w:highlight w:val="none"/>
                <w:lang w:val="en-US" w:eastAsia="zh-CN"/>
              </w:rPr>
              <w:t>35.</w:t>
            </w:r>
            <w:r>
              <w:rPr>
                <w:rFonts w:hint="eastAsia" w:ascii="Times New Roman" w:hAnsi="Times New Roman" w:eastAsia="宋体" w:cs="Times New Roman"/>
                <w:sz w:val="24"/>
                <w:szCs w:val="24"/>
                <w:highlight w:val="none"/>
                <w:lang w:val="en-US" w:eastAsia="zh-CN"/>
              </w:rPr>
              <w:t>455427</w:t>
            </w:r>
            <w:r>
              <w:rPr>
                <w:rFonts w:hint="default" w:ascii="Times New Roman" w:hAnsi="Times New Roman" w:eastAsia="宋体" w:cs="Times New Roman"/>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86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开工时间</w:t>
            </w:r>
          </w:p>
        </w:tc>
        <w:tc>
          <w:tcPr>
            <w:tcW w:w="1880"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20</w:t>
            </w:r>
            <w:r>
              <w:rPr>
                <w:rFonts w:hint="default"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rPr>
              <w:t>月</w:t>
            </w:r>
          </w:p>
        </w:tc>
        <w:tc>
          <w:tcPr>
            <w:tcW w:w="187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调试</w:t>
            </w:r>
            <w:r>
              <w:rPr>
                <w:rFonts w:hint="default" w:ascii="Times New Roman" w:hAnsi="Times New Roman" w:eastAsia="宋体" w:cs="Times New Roman"/>
                <w:sz w:val="24"/>
                <w:szCs w:val="24"/>
                <w:highlight w:val="none"/>
              </w:rPr>
              <w:t>时间</w:t>
            </w:r>
          </w:p>
        </w:tc>
        <w:tc>
          <w:tcPr>
            <w:tcW w:w="2899"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月</w:t>
            </w:r>
          </w:p>
        </w:tc>
      </w:tr>
    </w:tbl>
    <w:p>
      <w:pPr>
        <w:pStyle w:val="4"/>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2.2 生产规模及产品方案</w:t>
      </w:r>
      <w:bookmarkEnd w:id="10"/>
      <w:bookmarkEnd w:id="11"/>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8"/>
          <w:szCs w:val="28"/>
          <w:highlight w:val="none"/>
          <w14:textFill>
            <w14:solidFill>
              <w14:schemeClr w14:val="tx1"/>
            </w14:solidFill>
          </w14:textFill>
        </w:rPr>
        <w:t>产品见表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240" w:firstLineChars="800"/>
        <w:jc w:val="both"/>
        <w:textAlignment w:val="auto"/>
        <w:outlineLvl w:val="9"/>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产品方案</w:t>
      </w:r>
    </w:p>
    <w:tbl>
      <w:tblPr>
        <w:tblStyle w:val="30"/>
        <w:tblW w:w="46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2452"/>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96" w:type="dxa"/>
            <w:noWrap w:val="0"/>
            <w:vAlign w:val="center"/>
          </w:tcPr>
          <w:p>
            <w:pPr>
              <w:spacing w:line="240" w:lineRule="auto"/>
              <w:jc w:val="center"/>
              <w:rPr>
                <w:rFonts w:hint="default" w:ascii="Times New Roman" w:hAnsi="Times New Roman" w:eastAsia="宋体" w:cs="Times New Roman"/>
                <w:sz w:val="24"/>
                <w:szCs w:val="24"/>
                <w:highlight w:val="none"/>
              </w:rPr>
            </w:pPr>
            <w:bookmarkStart w:id="12" w:name="_Toc497001442"/>
            <w:bookmarkStart w:id="13" w:name="_Toc496979006"/>
            <w:r>
              <w:rPr>
                <w:rFonts w:hint="default" w:ascii="Times New Roman" w:hAnsi="Times New Roman" w:eastAsia="宋体" w:cs="Times New Roman"/>
                <w:sz w:val="24"/>
                <w:szCs w:val="24"/>
                <w:highlight w:val="none"/>
              </w:rPr>
              <w:t>名称</w:t>
            </w:r>
          </w:p>
        </w:tc>
        <w:tc>
          <w:tcPr>
            <w:tcW w:w="2452" w:type="dxa"/>
            <w:noWrap w:val="0"/>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年产量</w:t>
            </w:r>
            <w:r>
              <w:rPr>
                <w:rFonts w:hint="default" w:ascii="Times New Roman" w:hAnsi="Times New Roman" w:eastAsia="宋体" w:cs="Times New Roman"/>
                <w:sz w:val="24"/>
                <w:szCs w:val="24"/>
                <w:highlight w:val="none"/>
                <w:lang w:val="en-US" w:eastAsia="zh-CN"/>
              </w:rPr>
              <w:t>（台、套）</w:t>
            </w:r>
          </w:p>
        </w:tc>
        <w:tc>
          <w:tcPr>
            <w:tcW w:w="2452" w:type="dxa"/>
            <w:noWrap w:val="0"/>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96" w:type="dxa"/>
            <w:noWrap w:val="0"/>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矿山机械</w:t>
            </w:r>
          </w:p>
        </w:tc>
        <w:tc>
          <w:tcPr>
            <w:tcW w:w="2452" w:type="dxa"/>
            <w:noWrap w:val="0"/>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50</w:t>
            </w:r>
          </w:p>
        </w:tc>
        <w:tc>
          <w:tcPr>
            <w:tcW w:w="2452"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w:t>
            </w:r>
          </w:p>
        </w:tc>
      </w:tr>
    </w:tbl>
    <w:p>
      <w:pPr>
        <w:pStyle w:val="4"/>
        <w:keepNext w:val="0"/>
        <w:keepLines w:val="0"/>
        <w:pageBreakBefore w:val="0"/>
        <w:widowControl w:val="0"/>
        <w:kinsoku/>
        <w:wordWrap/>
        <w:overflowPunct/>
        <w:topLinePunct w:val="0"/>
        <w:autoSpaceDE/>
        <w:autoSpaceDN/>
        <w:bidi w:val="0"/>
        <w:adjustRightInd w:val="0"/>
        <w:snapToGrid w:val="0"/>
        <w:spacing w:before="157" w:line="360" w:lineRule="auto"/>
        <w:textAlignment w:val="auto"/>
        <w:outlineLvl w:val="2"/>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2.3 主体设施建设内容</w:t>
      </w:r>
      <w:bookmarkEnd w:id="12"/>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b w:val="0"/>
          <w:bCs w:val="0"/>
          <w:sz w:val="28"/>
          <w:szCs w:val="28"/>
          <w:highlight w:val="none"/>
          <w:u w:val="none"/>
        </w:rPr>
        <w:t>本项目总投资</w:t>
      </w:r>
      <w:r>
        <w:rPr>
          <w:rFonts w:hint="default" w:ascii="Times New Roman" w:hAnsi="Times New Roman" w:eastAsia="宋体" w:cs="Times New Roman"/>
          <w:b w:val="0"/>
          <w:bCs w:val="0"/>
          <w:sz w:val="28"/>
          <w:szCs w:val="28"/>
          <w:highlight w:val="none"/>
          <w:u w:val="none"/>
          <w:lang w:val="en-US" w:eastAsia="zh-CN"/>
        </w:rPr>
        <w:t>100</w:t>
      </w:r>
      <w:r>
        <w:rPr>
          <w:rFonts w:hint="default" w:ascii="Times New Roman" w:hAnsi="Times New Roman" w:eastAsia="宋体" w:cs="Times New Roman"/>
          <w:b w:val="0"/>
          <w:bCs w:val="0"/>
          <w:sz w:val="28"/>
          <w:szCs w:val="28"/>
          <w:highlight w:val="none"/>
          <w:u w:val="none"/>
        </w:rPr>
        <w:t>万元，占地面积17204m</w:t>
      </w:r>
      <w:r>
        <w:rPr>
          <w:rFonts w:hint="default" w:ascii="Times New Roman" w:hAnsi="Times New Roman" w:eastAsia="宋体" w:cs="Times New Roman"/>
          <w:b w:val="0"/>
          <w:bCs w:val="0"/>
          <w:sz w:val="28"/>
          <w:szCs w:val="28"/>
          <w:highlight w:val="none"/>
          <w:u w:val="none"/>
          <w:vertAlign w:val="superscript"/>
        </w:rPr>
        <w:t>2</w:t>
      </w:r>
      <w:r>
        <w:rPr>
          <w:rFonts w:hint="default" w:ascii="Times New Roman" w:hAnsi="Times New Roman" w:eastAsia="宋体" w:cs="Times New Roman"/>
          <w:b w:val="0"/>
          <w:bCs w:val="0"/>
          <w:sz w:val="28"/>
          <w:szCs w:val="28"/>
          <w:highlight w:val="none"/>
          <w:u w:val="none"/>
        </w:rPr>
        <w:t>，主要</w:t>
      </w:r>
      <w:r>
        <w:rPr>
          <w:rFonts w:hint="eastAsia" w:ascii="Times New Roman" w:hAnsi="Times New Roman" w:eastAsia="宋体" w:cs="Times New Roman"/>
          <w:b w:val="0"/>
          <w:bCs w:val="0"/>
          <w:sz w:val="28"/>
          <w:szCs w:val="28"/>
          <w:highlight w:val="none"/>
          <w:u w:val="none"/>
          <w:lang w:eastAsia="zh-CN"/>
        </w:rPr>
        <w:t>构筑物</w:t>
      </w:r>
      <w:r>
        <w:rPr>
          <w:rFonts w:hint="default" w:ascii="Times New Roman" w:hAnsi="Times New Roman" w:eastAsia="宋体" w:cs="Times New Roman"/>
          <w:b w:val="0"/>
          <w:bCs w:val="0"/>
          <w:sz w:val="28"/>
          <w:szCs w:val="28"/>
          <w:highlight w:val="none"/>
          <w:u w:val="none"/>
        </w:rPr>
        <w:t>包括生产车间、办公区、门卫室、地轨区等，具体建设情况见表</w:t>
      </w:r>
      <w:r>
        <w:rPr>
          <w:rFonts w:hint="default"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960" w:firstLineChars="7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3</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主要建（构）筑物一览表</w:t>
      </w:r>
    </w:p>
    <w:tbl>
      <w:tblPr>
        <w:tblStyle w:val="31"/>
        <w:tblW w:w="47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185"/>
        <w:gridCol w:w="2219"/>
        <w:gridCol w:w="2426"/>
        <w:gridCol w:w="14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bookmarkStart w:id="14" w:name="_Toc496979007"/>
            <w:bookmarkStart w:id="15" w:name="_Toc497001443"/>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工程类别</w:t>
            </w:r>
          </w:p>
        </w:tc>
        <w:tc>
          <w:tcPr>
            <w:tcW w:w="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工程内容</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eastAsia="zh-CN"/>
              </w:rPr>
              <w:t>环评批复及环评报告内容</w:t>
            </w:r>
          </w:p>
        </w:tc>
        <w:tc>
          <w:tcPr>
            <w:tcW w:w="1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eastAsia="zh-CN"/>
              </w:rPr>
              <w:t>实际建设内容</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auto"/>
                <w:sz w:val="24"/>
                <w:szCs w:val="24"/>
                <w:highlight w:val="none"/>
                <w:lang w:eastAsia="zh-CN"/>
              </w:rPr>
              <w:t>与环评批复及环评报告的一致性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主体工程</w:t>
            </w:r>
          </w:p>
        </w:tc>
        <w:tc>
          <w:tcPr>
            <w:tcW w:w="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生产车间</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9200</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pt-BR" w:eastAsia="zh-CN"/>
                <w14:textFill>
                  <w14:solidFill>
                    <w14:schemeClr w14:val="tx1"/>
                  </w14:solidFill>
                </w14:textFill>
              </w:rPr>
              <w:t>（依托原有）</w:t>
            </w:r>
          </w:p>
        </w:tc>
        <w:tc>
          <w:tcPr>
            <w:tcW w:w="1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9200</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pt-BR" w:eastAsia="zh-CN"/>
                <w14:textFill>
                  <w14:solidFill>
                    <w14:schemeClr w14:val="tx1"/>
                  </w14:solidFill>
                </w14:textFill>
              </w:rPr>
              <w:t>（依托原有）</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p>
        </w:tc>
        <w:tc>
          <w:tcPr>
            <w:tcW w:w="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地轨区</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1504</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pt-BR" w:eastAsia="zh-CN"/>
                <w14:textFill>
                  <w14:solidFill>
                    <w14:schemeClr w14:val="tx1"/>
                  </w14:solidFill>
                </w14:textFill>
              </w:rPr>
              <w:t>（依托原有）</w:t>
            </w:r>
          </w:p>
        </w:tc>
        <w:tc>
          <w:tcPr>
            <w:tcW w:w="1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1504</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pt-BR" w:eastAsia="zh-CN"/>
                <w14:textFill>
                  <w14:solidFill>
                    <w14:schemeClr w14:val="tx1"/>
                  </w14:solidFill>
                </w14:textFill>
              </w:rPr>
              <w:t>（依托原有）</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46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p>
        </w:tc>
        <w:tc>
          <w:tcPr>
            <w:tcW w:w="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原材料存放处</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p>
        </w:tc>
        <w:tc>
          <w:tcPr>
            <w:tcW w:w="1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辅助工程</w:t>
            </w:r>
          </w:p>
        </w:tc>
        <w:tc>
          <w:tcPr>
            <w:tcW w:w="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办公室</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256</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pt-BR" w:eastAsia="zh-CN"/>
                <w14:textFill>
                  <w14:solidFill>
                    <w14:schemeClr w14:val="tx1"/>
                  </w14:solidFill>
                </w14:textFill>
              </w:rPr>
              <w:t>（依托原有）</w:t>
            </w:r>
          </w:p>
        </w:tc>
        <w:tc>
          <w:tcPr>
            <w:tcW w:w="1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256</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pt-BR" w:eastAsia="zh-CN"/>
                <w14:textFill>
                  <w14:solidFill>
                    <w14:schemeClr w14:val="tx1"/>
                  </w14:solidFill>
                </w14:textFill>
              </w:rPr>
              <w:t>（依托原有）</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p>
        </w:tc>
        <w:tc>
          <w:tcPr>
            <w:tcW w:w="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门卫室</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pt-BR" w:eastAsia="zh-CN"/>
                <w14:textFill>
                  <w14:solidFill>
                    <w14:schemeClr w14:val="tx1"/>
                  </w14:solidFill>
                </w14:textFill>
              </w:rPr>
              <w:t>（依托原有）</w:t>
            </w:r>
          </w:p>
        </w:tc>
        <w:tc>
          <w:tcPr>
            <w:tcW w:w="1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50</w:t>
            </w:r>
            <w:r>
              <w:rPr>
                <w:rFonts w:hint="default" w:ascii="Times New Roman" w:hAnsi="Times New Roman" w:eastAsia="宋体" w:cs="Times New Roman"/>
                <w:color w:val="000000" w:themeColor="text1"/>
                <w:sz w:val="24"/>
                <w:szCs w:val="24"/>
                <w:highlight w:val="none"/>
                <w:lang w:val="pt-B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pt-BR"/>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pt-BR" w:eastAsia="zh-CN"/>
                <w14:textFill>
                  <w14:solidFill>
                    <w14:schemeClr w14:val="tx1"/>
                  </w14:solidFill>
                </w14:textFill>
              </w:rPr>
              <w:t>（依托原有）</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公用工程</w:t>
            </w:r>
          </w:p>
        </w:tc>
        <w:tc>
          <w:tcPr>
            <w:tcW w:w="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供水</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4"/>
                <w:szCs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厂区自备井提供</w:t>
            </w:r>
          </w:p>
        </w:tc>
        <w:tc>
          <w:tcPr>
            <w:tcW w:w="1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厂区自备井提供</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6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cyan"/>
                <w:vertAlign w:val="baseline"/>
                <w:lang w:val="en-US" w:eastAsia="zh-CN"/>
                <w14:textFill>
                  <w14:solidFill>
                    <w14:schemeClr w14:val="tx1"/>
                  </w14:solidFill>
                </w14:textFill>
              </w:rPr>
            </w:pPr>
          </w:p>
        </w:tc>
        <w:tc>
          <w:tcPr>
            <w:tcW w:w="7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供电</w:t>
            </w:r>
          </w:p>
        </w:tc>
        <w:tc>
          <w:tcPr>
            <w:tcW w:w="137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FF0000"/>
                <w:sz w:val="24"/>
                <w:szCs w:val="24"/>
                <w:highlight w:val="none"/>
                <w:u w:val="none"/>
                <w:vertAlign w:val="baseline"/>
                <w:lang w:val="en-US" w:eastAsia="zh-CN"/>
              </w:rPr>
            </w:pPr>
            <w:r>
              <w:rPr>
                <w:rFonts w:hint="default" w:ascii="Times New Roman" w:hAnsi="Times New Roman" w:eastAsia="宋体" w:cs="Times New Roman"/>
                <w:b w:val="0"/>
                <w:bCs w:val="0"/>
                <w:i w:val="0"/>
                <w:iCs w:val="0"/>
                <w:color w:val="000000" w:themeColor="text1"/>
                <w:sz w:val="24"/>
                <w:szCs w:val="24"/>
                <w:highlight w:val="none"/>
                <w:u w:val="none"/>
                <w:lang w:eastAsia="zh-CN"/>
                <w14:textFill>
                  <w14:solidFill>
                    <w14:schemeClr w14:val="tx1"/>
                  </w14:solidFill>
                </w14:textFill>
              </w:rPr>
              <w:t>卫辉市</w:t>
            </w:r>
            <w:r>
              <w:rPr>
                <w:rFonts w:hint="default" w:ascii="Times New Roman" w:hAnsi="Times New Roman" w:eastAsia="宋体" w:cs="Times New Roman"/>
                <w:b w:val="0"/>
                <w:bCs w:val="0"/>
                <w:i w:val="0"/>
                <w:iCs w:val="0"/>
                <w:color w:val="000000" w:themeColor="text1"/>
                <w:sz w:val="24"/>
                <w:szCs w:val="24"/>
                <w:highlight w:val="none"/>
                <w:u w:val="none"/>
                <w:vertAlign w:val="baseline"/>
                <w:lang w:val="en-US" w:eastAsia="zh-CN"/>
                <w14:textFill>
                  <w14:solidFill>
                    <w14:schemeClr w14:val="tx1"/>
                  </w14:solidFill>
                </w14:textFill>
              </w:rPr>
              <w:t>孙杏村镇供电电网供给</w:t>
            </w:r>
          </w:p>
        </w:tc>
        <w:tc>
          <w:tcPr>
            <w:tcW w:w="1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4"/>
                <w:szCs w:val="24"/>
                <w:highlight w:val="none"/>
                <w:u w:val="none"/>
                <w:lang w:eastAsia="zh-CN"/>
                <w14:textFill>
                  <w14:solidFill>
                    <w14:schemeClr w14:val="tx1"/>
                  </w14:solidFill>
                </w14:textFill>
              </w:rPr>
              <w:t>卫辉市</w:t>
            </w:r>
            <w:r>
              <w:rPr>
                <w:rFonts w:hint="default" w:ascii="Times New Roman" w:hAnsi="Times New Roman" w:eastAsia="宋体" w:cs="Times New Roman"/>
                <w:b w:val="0"/>
                <w:bCs w:val="0"/>
                <w:i w:val="0"/>
                <w:iCs w:val="0"/>
                <w:color w:val="000000" w:themeColor="text1"/>
                <w:sz w:val="24"/>
                <w:szCs w:val="24"/>
                <w:highlight w:val="none"/>
                <w:u w:val="none"/>
                <w:vertAlign w:val="baseline"/>
                <w:lang w:val="en-US" w:eastAsia="zh-CN"/>
                <w14:textFill>
                  <w14:solidFill>
                    <w14:schemeClr w14:val="tx1"/>
                  </w14:solidFill>
                </w14:textFill>
              </w:rPr>
              <w:t>孙杏村镇供电电网供给</w:t>
            </w:r>
          </w:p>
        </w:tc>
        <w:tc>
          <w:tcPr>
            <w:tcW w:w="9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20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职工人数</w:t>
            </w:r>
          </w:p>
        </w:tc>
        <w:tc>
          <w:tcPr>
            <w:tcW w:w="3797"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sz w:val="24"/>
                <w:szCs w:val="24"/>
                <w:highlight w:val="none"/>
                <w:lang w:val="en-US" w:eastAsia="zh-CN"/>
              </w:rPr>
              <w:t>本项目员工借调原有项目员工，不新增员工</w:t>
            </w:r>
            <w:r>
              <w:rPr>
                <w:rFonts w:hint="eastAsia" w:ascii="Times New Roman" w:hAnsi="Times New Roman" w:eastAsia="宋体" w:cs="Times New Roman"/>
                <w:color w:val="000000"/>
                <w:sz w:val="24"/>
                <w:szCs w:val="24"/>
                <w:lang w:val="en-US" w:eastAsia="zh-CN"/>
              </w:rPr>
              <w:t>，均不在厂区内食宿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20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工作制度</w:t>
            </w:r>
          </w:p>
        </w:tc>
        <w:tc>
          <w:tcPr>
            <w:tcW w:w="3797"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sz w:val="24"/>
                <w:szCs w:val="24"/>
                <w:lang w:val="en-US" w:eastAsia="zh-CN"/>
              </w:rPr>
              <w:t>每天工作8小时，单班制，年有效工作日300天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2.4 生产设备</w:t>
      </w:r>
      <w:bookmarkEnd w:id="14"/>
      <w:bookmarkEnd w:id="1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sz w:val="28"/>
          <w:szCs w:val="28"/>
          <w:highlight w:val="none"/>
        </w:rPr>
        <w:t>项目设备一览表见表</w:t>
      </w:r>
      <w:r>
        <w:rPr>
          <w:rFonts w:hint="default"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sz w:val="28"/>
          <w:szCs w:val="28"/>
          <w:highlight w:val="none"/>
          <w:lang w:val="en-US" w:eastAsia="zh-CN"/>
        </w:rPr>
        <w:t>4</w:t>
      </w:r>
      <w:r>
        <w:rPr>
          <w:rFonts w:hint="default" w:ascii="Times New Roman" w:hAnsi="Times New Roman" w:eastAsia="宋体" w:cs="Times New Roman"/>
          <w:b w:val="0"/>
          <w:bCs/>
          <w:sz w:val="28"/>
          <w:szCs w:val="28"/>
          <w:highlight w:val="none"/>
        </w:rPr>
        <w:t xml:space="preserve"> </w:t>
      </w:r>
      <w:r>
        <w:rPr>
          <w:rFonts w:hint="default" w:ascii="Times New Roman" w:hAnsi="Times New Roman" w:eastAsia="宋体"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rPr>
        <w:t>主要生产设备一览表</w:t>
      </w:r>
    </w:p>
    <w:tbl>
      <w:tblPr>
        <w:tblStyle w:val="30"/>
        <w:tblW w:w="826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6"/>
        <w:gridCol w:w="1221"/>
        <w:gridCol w:w="1530"/>
        <w:gridCol w:w="468"/>
        <w:gridCol w:w="1"/>
        <w:gridCol w:w="1181"/>
        <w:gridCol w:w="1530"/>
        <w:gridCol w:w="510"/>
        <w:gridCol w:w="13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Merge w:val="restart"/>
            <w:vAlign w:val="center"/>
          </w:tcPr>
          <w:p>
            <w:pPr>
              <w:jc w:val="center"/>
              <w:rPr>
                <w:rFonts w:hint="default" w:ascii="Times New Roman" w:hAnsi="Times New Roman" w:eastAsia="宋体" w:cs="Times New Roman"/>
                <w:sz w:val="24"/>
                <w:szCs w:val="24"/>
                <w:highlight w:val="none"/>
              </w:rPr>
            </w:pPr>
            <w:bookmarkStart w:id="16" w:name="_Toc497001444"/>
            <w:r>
              <w:rPr>
                <w:rFonts w:hint="default" w:ascii="Times New Roman" w:hAnsi="Times New Roman" w:eastAsia="宋体" w:cs="Times New Roman"/>
                <w:sz w:val="24"/>
                <w:szCs w:val="24"/>
                <w:highlight w:val="none"/>
              </w:rPr>
              <w:t>序号</w:t>
            </w:r>
          </w:p>
        </w:tc>
        <w:tc>
          <w:tcPr>
            <w:tcW w:w="3220" w:type="dxa"/>
            <w:gridSpan w:val="4"/>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环评批复及环评报告</w:t>
            </w:r>
          </w:p>
        </w:tc>
        <w:tc>
          <w:tcPr>
            <w:tcW w:w="3221" w:type="dxa"/>
            <w:gridSpan w:val="3"/>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实际建设内容</w:t>
            </w:r>
          </w:p>
        </w:tc>
        <w:tc>
          <w:tcPr>
            <w:tcW w:w="1336" w:type="dxa"/>
            <w:vMerge w:val="restart"/>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与环评批复及环评报告的一致性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Merge w:val="continue"/>
            <w:vAlign w:val="center"/>
          </w:tcPr>
          <w:p>
            <w:pPr>
              <w:jc w:val="center"/>
              <w:rPr>
                <w:rFonts w:hint="default" w:ascii="Times New Roman" w:hAnsi="Times New Roman" w:eastAsia="宋体" w:cs="Times New Roman"/>
                <w:sz w:val="24"/>
                <w:szCs w:val="24"/>
                <w:highlight w:val="none"/>
              </w:rPr>
            </w:pPr>
          </w:p>
        </w:tc>
        <w:tc>
          <w:tcPr>
            <w:tcW w:w="1221"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名称</w:t>
            </w:r>
          </w:p>
        </w:tc>
        <w:tc>
          <w:tcPr>
            <w:tcW w:w="153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型号</w:t>
            </w:r>
          </w:p>
        </w:tc>
        <w:tc>
          <w:tcPr>
            <w:tcW w:w="468"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数量</w:t>
            </w:r>
          </w:p>
        </w:tc>
        <w:tc>
          <w:tcPr>
            <w:tcW w:w="1182" w:type="dxa"/>
            <w:gridSpan w:val="2"/>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名称</w:t>
            </w:r>
          </w:p>
        </w:tc>
        <w:tc>
          <w:tcPr>
            <w:tcW w:w="153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型号</w:t>
            </w:r>
          </w:p>
        </w:tc>
        <w:tc>
          <w:tcPr>
            <w:tcW w:w="510"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数量</w:t>
            </w:r>
          </w:p>
        </w:tc>
        <w:tc>
          <w:tcPr>
            <w:tcW w:w="1336" w:type="dxa"/>
            <w:vMerge w:val="continue"/>
            <w:vAlign w:val="center"/>
          </w:tcPr>
          <w:p>
            <w:pPr>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电动桥式起重机</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LD2.8T-23M/LH25T-23M</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14</w:t>
            </w:r>
          </w:p>
        </w:tc>
        <w:tc>
          <w:tcPr>
            <w:tcW w:w="1182" w:type="dxa"/>
            <w:gridSpan w:val="2"/>
            <w:vAlign w:val="center"/>
          </w:tcPr>
          <w:p>
            <w:pPr>
              <w:jc w:val="center"/>
              <w:rPr>
                <w:rFonts w:hint="default" w:ascii="Times New Roman" w:hAnsi="Times New Roman" w:eastAsia="宋体" w:cs="Times New Roman"/>
                <w:b w:val="0"/>
                <w:bCs w:val="0"/>
                <w:sz w:val="24"/>
                <w:szCs w:val="24"/>
                <w:highlight w:val="none"/>
                <w:u w:val="none"/>
                <w:lang w:eastAsia="zh-CN"/>
              </w:rPr>
            </w:pPr>
            <w:r>
              <w:rPr>
                <w:rFonts w:hint="default" w:ascii="Times New Roman" w:hAnsi="Times New Roman" w:eastAsia="宋体" w:cs="Times New Roman"/>
                <w:sz w:val="24"/>
                <w:szCs w:val="24"/>
                <w:highlight w:val="none"/>
                <w:lang w:val="en-US" w:eastAsia="zh-CN"/>
              </w:rPr>
              <w:t>电动桥式起重机</w:t>
            </w:r>
          </w:p>
        </w:tc>
        <w:tc>
          <w:tcPr>
            <w:tcW w:w="153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LD2.8T-23M/LH25T-23M</w:t>
            </w:r>
          </w:p>
        </w:tc>
        <w:tc>
          <w:tcPr>
            <w:tcW w:w="5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14</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立柱式悬臂吊</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BZDIT-6M</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w:t>
            </w:r>
          </w:p>
        </w:tc>
        <w:tc>
          <w:tcPr>
            <w:tcW w:w="1182" w:type="dxa"/>
            <w:gridSpan w:val="2"/>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立柱式悬臂吊</w:t>
            </w:r>
          </w:p>
        </w:tc>
        <w:tc>
          <w:tcPr>
            <w:tcW w:w="153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BZDIT-6M</w:t>
            </w:r>
          </w:p>
        </w:tc>
        <w:tc>
          <w:tcPr>
            <w:tcW w:w="5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2</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数控割</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LGK-300/LGK-200</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w:t>
            </w:r>
          </w:p>
        </w:tc>
        <w:tc>
          <w:tcPr>
            <w:tcW w:w="1182" w:type="dxa"/>
            <w:gridSpan w:val="2"/>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数控割</w:t>
            </w:r>
          </w:p>
        </w:tc>
        <w:tc>
          <w:tcPr>
            <w:tcW w:w="153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LGK-300/LGK-200</w:t>
            </w:r>
          </w:p>
        </w:tc>
        <w:tc>
          <w:tcPr>
            <w:tcW w:w="5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2</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激光割</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HMHW2025A4000-1</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激光割</w:t>
            </w:r>
          </w:p>
        </w:tc>
        <w:tc>
          <w:tcPr>
            <w:tcW w:w="153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HMHW2025A4000-1</w:t>
            </w:r>
          </w:p>
        </w:tc>
        <w:tc>
          <w:tcPr>
            <w:tcW w:w="5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锯床</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GD-4028</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锯床</w:t>
            </w:r>
          </w:p>
        </w:tc>
        <w:tc>
          <w:tcPr>
            <w:tcW w:w="153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GD-4028</w:t>
            </w:r>
          </w:p>
        </w:tc>
        <w:tc>
          <w:tcPr>
            <w:tcW w:w="5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摇臂钻床</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Z-310/Z3050X16/1</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w:t>
            </w:r>
          </w:p>
        </w:tc>
        <w:tc>
          <w:tcPr>
            <w:tcW w:w="1182" w:type="dxa"/>
            <w:gridSpan w:val="2"/>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摇臂钻床</w:t>
            </w:r>
          </w:p>
        </w:tc>
        <w:tc>
          <w:tcPr>
            <w:tcW w:w="153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Z-310/Z3050X16/1</w:t>
            </w:r>
          </w:p>
        </w:tc>
        <w:tc>
          <w:tcPr>
            <w:tcW w:w="5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4</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7</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立式钻床</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MODEL-25B2A</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w:t>
            </w:r>
          </w:p>
        </w:tc>
        <w:tc>
          <w:tcPr>
            <w:tcW w:w="1182" w:type="dxa"/>
            <w:gridSpan w:val="2"/>
            <w:vAlign w:val="center"/>
          </w:tcPr>
          <w:p>
            <w:pPr>
              <w:jc w:val="center"/>
              <w:rPr>
                <w:rFonts w:hint="default" w:ascii="Times New Roman" w:hAnsi="Times New Roman" w:eastAsia="宋体" w:cs="Times New Roman"/>
                <w:b w:val="0"/>
                <w:bCs w:val="0"/>
                <w:sz w:val="24"/>
                <w:szCs w:val="24"/>
                <w:highlight w:val="none"/>
                <w:u w:val="none"/>
              </w:rPr>
            </w:pPr>
            <w:r>
              <w:rPr>
                <w:rFonts w:hint="default" w:ascii="Times New Roman" w:hAnsi="Times New Roman" w:eastAsia="宋体" w:cs="Times New Roman"/>
                <w:sz w:val="24"/>
                <w:szCs w:val="24"/>
                <w:highlight w:val="none"/>
                <w:lang w:val="en-US" w:eastAsia="zh-CN"/>
              </w:rPr>
              <w:t>立式钻床</w:t>
            </w:r>
          </w:p>
        </w:tc>
        <w:tc>
          <w:tcPr>
            <w:tcW w:w="153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MODEL-25B2A</w:t>
            </w:r>
          </w:p>
        </w:tc>
        <w:tc>
          <w:tcPr>
            <w:tcW w:w="510"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sz w:val="24"/>
                <w:szCs w:val="24"/>
                <w:highlight w:val="none"/>
                <w:lang w:val="en-US" w:eastAsia="zh-CN"/>
              </w:rPr>
              <w:t>2</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8</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螺杆式空压机</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SE-10A</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螺杆式空压机</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SE-10A</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9</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二保焊机</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NBC-350/NB-630/N B-315</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15</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二保焊机</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NBC-350/NB-630/N B-315</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15</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10</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氩弧焊机</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LGK-100</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氩弧焊机</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LGK-100</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11</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电焊机</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2X7-400A</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电焊机</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2X7-400A</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12</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体热泵落地式空调器</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KPR-70W</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体热泵落地式空调器</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KPR-70W</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13</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摇臂钻床</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2-3032X10/1</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摇臂钻床</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2-3032X10/1</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14</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线切割</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DK-7750</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线切割</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DK-7750</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15</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柴油发电机</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YXR-6-105</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柴油发电机</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YXR-6-105</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16</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变压器</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S9-250/10</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变压器</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S9-250/10</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17</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立式车床</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C5112B-1/C5116B-</w:t>
            </w:r>
            <w:r>
              <w:rPr>
                <w:rFonts w:hint="default" w:ascii="Times New Roman" w:hAnsi="Times New Roman" w:eastAsia="宋体" w:cs="Times New Roman"/>
                <w:sz w:val="24"/>
                <w:szCs w:val="24"/>
                <w:highlight w:val="none"/>
                <w:lang w:val="en-US" w:eastAsia="zh-CN"/>
              </w:rPr>
              <w:br w:type="textWrapping"/>
            </w:r>
            <w:r>
              <w:rPr>
                <w:rFonts w:hint="default" w:ascii="Times New Roman" w:hAnsi="Times New Roman" w:eastAsia="宋体" w:cs="Times New Roman"/>
                <w:sz w:val="24"/>
                <w:szCs w:val="24"/>
                <w:highlight w:val="none"/>
                <w:lang w:val="en-US" w:eastAsia="zh-CN"/>
              </w:rPr>
              <w:t>3A/CK5225/C5235</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立式车床</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C5112B-1/C5116B-</w:t>
            </w:r>
            <w:r>
              <w:rPr>
                <w:rFonts w:hint="default" w:ascii="Times New Roman" w:hAnsi="Times New Roman" w:eastAsia="宋体" w:cs="Times New Roman"/>
                <w:sz w:val="24"/>
                <w:szCs w:val="24"/>
                <w:highlight w:val="none"/>
                <w:lang w:val="en-US" w:eastAsia="zh-CN"/>
              </w:rPr>
              <w:br w:type="textWrapping"/>
            </w:r>
            <w:r>
              <w:rPr>
                <w:rFonts w:hint="default" w:ascii="Times New Roman" w:hAnsi="Times New Roman" w:eastAsia="宋体" w:cs="Times New Roman"/>
                <w:sz w:val="24"/>
                <w:szCs w:val="24"/>
                <w:highlight w:val="none"/>
                <w:lang w:val="en-US" w:eastAsia="zh-CN"/>
              </w:rPr>
              <w:t>3A/CK5225/C5235</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18</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立式车床</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HX-5M</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立式车床</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HX-5M</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19</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螺杆式空压机</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EAS10J/125</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螺杆式空压机</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EAS10J/125</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20</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卧式车床</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C63-1A/CWA61100/</w:t>
            </w:r>
            <w:r>
              <w:rPr>
                <w:rFonts w:hint="default" w:ascii="Times New Roman" w:hAnsi="Times New Roman" w:eastAsia="宋体" w:cs="Times New Roman"/>
                <w:sz w:val="24"/>
                <w:szCs w:val="24"/>
                <w:highlight w:val="none"/>
                <w:lang w:val="en-US" w:eastAsia="zh-CN"/>
              </w:rPr>
              <w:br w:type="textWrapping"/>
            </w:r>
            <w:r>
              <w:rPr>
                <w:rFonts w:hint="default" w:ascii="Times New Roman" w:hAnsi="Times New Roman" w:eastAsia="宋体" w:cs="Times New Roman"/>
                <w:sz w:val="24"/>
                <w:szCs w:val="24"/>
                <w:highlight w:val="none"/>
                <w:lang w:val="en-US" w:eastAsia="zh-CN"/>
              </w:rPr>
              <w:t>CW6163/CA6140/C6250</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卧式车床</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C63-1A/CWA61100/</w:t>
            </w:r>
            <w:r>
              <w:rPr>
                <w:rFonts w:hint="default" w:ascii="Times New Roman" w:hAnsi="Times New Roman" w:eastAsia="宋体" w:cs="Times New Roman"/>
                <w:sz w:val="24"/>
                <w:szCs w:val="24"/>
                <w:highlight w:val="none"/>
                <w:lang w:val="en-US" w:eastAsia="zh-CN"/>
              </w:rPr>
              <w:br w:type="textWrapping"/>
            </w:r>
            <w:r>
              <w:rPr>
                <w:rFonts w:hint="default" w:ascii="Times New Roman" w:hAnsi="Times New Roman" w:eastAsia="宋体" w:cs="Times New Roman"/>
                <w:sz w:val="24"/>
                <w:szCs w:val="24"/>
                <w:highlight w:val="none"/>
                <w:lang w:val="en-US" w:eastAsia="zh-CN"/>
              </w:rPr>
              <w:t>CW6163/CA6140/C6250</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21</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龙门铣床</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YDLMX498</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龙门铣床</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YDLMX498</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22</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万能升降台铣床</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X62W</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万能升降台铣床</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X62W</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23</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重型普通车床</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C61125B</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重型普通车床</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C61125B</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24</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落地式砂轮机</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M3030</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落地式砂轮机</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M3030</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25</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台式砂轮机</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SISL-250</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台式砂轮机</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SISL-250</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26</w:t>
            </w:r>
          </w:p>
        </w:tc>
        <w:tc>
          <w:tcPr>
            <w:tcW w:w="1221"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可编程脉冲式冲砂机</w:t>
            </w:r>
          </w:p>
        </w:tc>
        <w:tc>
          <w:tcPr>
            <w:tcW w:w="153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LC-PDC-2C08D</w:t>
            </w:r>
          </w:p>
        </w:tc>
        <w:tc>
          <w:tcPr>
            <w:tcW w:w="468"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182" w:type="dxa"/>
            <w:gridSpan w:val="2"/>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可编程脉冲式冲砂机</w:t>
            </w:r>
          </w:p>
        </w:tc>
        <w:tc>
          <w:tcPr>
            <w:tcW w:w="1530" w:type="dxa"/>
            <w:vAlign w:val="center"/>
          </w:tcPr>
          <w:p>
            <w:pPr>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lang w:val="en-US" w:eastAsia="zh-CN"/>
              </w:rPr>
              <w:t>LC-PDC-2C08D</w:t>
            </w:r>
          </w:p>
        </w:tc>
        <w:tc>
          <w:tcPr>
            <w:tcW w:w="510"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w:t>
            </w:r>
          </w:p>
        </w:tc>
        <w:tc>
          <w:tcPr>
            <w:tcW w:w="133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sz w:val="30"/>
          <w:szCs w:val="30"/>
          <w:highlight w:val="none"/>
          <w:lang w:val="en-US" w:eastAsia="zh-CN"/>
        </w:rPr>
      </w:pPr>
      <w:r>
        <w:rPr>
          <w:rFonts w:hint="default" w:ascii="Times New Roman" w:hAnsi="Times New Roman" w:eastAsia="宋体" w:cs="Times New Roman"/>
          <w:b/>
          <w:bCs/>
          <w:sz w:val="30"/>
          <w:szCs w:val="30"/>
          <w:highlight w:val="none"/>
          <w:lang w:val="en-US" w:eastAsia="zh-CN"/>
        </w:rPr>
        <w:t>3.主要原辅材料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本项目主要原</w:t>
      </w:r>
      <w:r>
        <w:rPr>
          <w:rFonts w:hint="default" w:ascii="Times New Roman" w:hAnsi="Times New Roman" w:eastAsia="宋体" w:cs="Times New Roman"/>
          <w:sz w:val="28"/>
          <w:szCs w:val="28"/>
          <w:highlight w:val="none"/>
          <w:lang w:eastAsia="zh-CN"/>
        </w:rPr>
        <w:t>辅</w:t>
      </w:r>
      <w:r>
        <w:rPr>
          <w:rFonts w:hint="default" w:ascii="Times New Roman" w:hAnsi="Times New Roman" w:eastAsia="宋体" w:cs="Times New Roman"/>
          <w:sz w:val="28"/>
          <w:szCs w:val="28"/>
          <w:highlight w:val="none"/>
        </w:rPr>
        <w:t>料</w:t>
      </w:r>
      <w:r>
        <w:rPr>
          <w:rFonts w:hint="default" w:ascii="Times New Roman" w:hAnsi="Times New Roman" w:eastAsia="宋体" w:cs="Times New Roman"/>
          <w:sz w:val="28"/>
          <w:szCs w:val="28"/>
          <w:highlight w:val="none"/>
          <w:lang w:eastAsia="zh-CN"/>
        </w:rPr>
        <w:t>与能耗及</w:t>
      </w:r>
      <w:r>
        <w:rPr>
          <w:rFonts w:hint="default" w:ascii="Times New Roman" w:hAnsi="Times New Roman" w:eastAsia="宋体" w:cs="Times New Roman"/>
          <w:sz w:val="28"/>
          <w:szCs w:val="28"/>
          <w:highlight w:val="none"/>
        </w:rPr>
        <w:t>用量见表</w:t>
      </w:r>
      <w:r>
        <w:rPr>
          <w:rFonts w:hint="default" w:ascii="Times New Roman" w:hAnsi="Times New Roman" w:eastAsia="宋体" w:cs="Times New Roman"/>
          <w:sz w:val="28"/>
          <w:szCs w:val="28"/>
          <w:highlight w:val="none"/>
          <w:lang w:val="en-US" w:eastAsia="zh-CN"/>
        </w:rPr>
        <w:t>5</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1982" w:firstLineChars="826"/>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表</w:t>
      </w:r>
      <w:r>
        <w:rPr>
          <w:rFonts w:hint="default"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 xml:space="preserve"> 原辅材料及能源消耗表</w:t>
      </w:r>
    </w:p>
    <w:bookmarkEnd w:id="16"/>
    <w:tbl>
      <w:tblPr>
        <w:tblStyle w:val="30"/>
        <w:tblW w:w="8132"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558"/>
        <w:gridCol w:w="696"/>
        <w:gridCol w:w="1461"/>
        <w:gridCol w:w="1539"/>
        <w:gridCol w:w="1176"/>
        <w:gridCol w:w="1605"/>
        <w:gridCol w:w="1097"/>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1254" w:type="dxa"/>
            <w:gridSpan w:val="2"/>
            <w:vAlign w:val="center"/>
          </w:tcPr>
          <w:p>
            <w:pPr>
              <w:jc w:val="center"/>
              <w:rPr>
                <w:rFonts w:hint="default" w:ascii="Times New Roman" w:hAnsi="Times New Roman" w:eastAsia="宋体" w:cs="Times New Roman"/>
                <w:sz w:val="24"/>
                <w:szCs w:val="24"/>
                <w:highlight w:val="none"/>
              </w:rPr>
            </w:pPr>
            <w:bookmarkStart w:id="17" w:name="_Toc497001445"/>
            <w:r>
              <w:rPr>
                <w:rFonts w:hint="default" w:ascii="Times New Roman" w:hAnsi="Times New Roman" w:eastAsia="宋体" w:cs="Times New Roman"/>
                <w:sz w:val="24"/>
                <w:szCs w:val="24"/>
                <w:highlight w:val="none"/>
              </w:rPr>
              <w:t>序号</w:t>
            </w:r>
          </w:p>
        </w:tc>
        <w:tc>
          <w:tcPr>
            <w:tcW w:w="1461"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名称</w:t>
            </w:r>
          </w:p>
        </w:tc>
        <w:tc>
          <w:tcPr>
            <w:tcW w:w="1539"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环评报告中用</w:t>
            </w:r>
            <w:r>
              <w:rPr>
                <w:rFonts w:hint="default" w:ascii="Times New Roman" w:hAnsi="Times New Roman" w:eastAsia="宋体" w:cs="Times New Roman"/>
                <w:sz w:val="24"/>
                <w:szCs w:val="24"/>
                <w:highlight w:val="none"/>
              </w:rPr>
              <w:t>量</w:t>
            </w:r>
          </w:p>
        </w:tc>
        <w:tc>
          <w:tcPr>
            <w:tcW w:w="1176"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备注</w:t>
            </w:r>
          </w:p>
        </w:tc>
        <w:tc>
          <w:tcPr>
            <w:tcW w:w="1605"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现状实际年用量</w:t>
            </w:r>
          </w:p>
        </w:tc>
        <w:tc>
          <w:tcPr>
            <w:tcW w:w="109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与环评报告的一致性</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558" w:type="dxa"/>
            <w:vMerge w:val="restart"/>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原辅材料</w:t>
            </w:r>
          </w:p>
          <w:p>
            <w:pPr>
              <w:jc w:val="center"/>
              <w:rPr>
                <w:rFonts w:hint="default" w:ascii="Times New Roman" w:hAnsi="Times New Roman" w:eastAsia="宋体" w:cs="Times New Roman"/>
                <w:sz w:val="24"/>
                <w:szCs w:val="24"/>
                <w:highlight w:val="none"/>
              </w:rPr>
            </w:pPr>
          </w:p>
        </w:tc>
        <w:tc>
          <w:tcPr>
            <w:tcW w:w="69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1</w:t>
            </w:r>
          </w:p>
        </w:tc>
        <w:tc>
          <w:tcPr>
            <w:tcW w:w="1461"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型材</w:t>
            </w:r>
          </w:p>
        </w:tc>
        <w:tc>
          <w:tcPr>
            <w:tcW w:w="1539"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2500t</w:t>
            </w:r>
          </w:p>
        </w:tc>
        <w:tc>
          <w:tcPr>
            <w:tcW w:w="11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外购</w:t>
            </w:r>
          </w:p>
        </w:tc>
        <w:tc>
          <w:tcPr>
            <w:tcW w:w="1605"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val="0"/>
                <w:bCs w:val="0"/>
                <w:sz w:val="24"/>
                <w:szCs w:val="24"/>
                <w:highlight w:val="none"/>
                <w:u w:val="none"/>
                <w:lang w:val="en-US" w:eastAsia="zh-CN"/>
              </w:rPr>
              <w:t>2500t</w:t>
            </w:r>
          </w:p>
        </w:tc>
        <w:tc>
          <w:tcPr>
            <w:tcW w:w="1097"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38" w:hRule="atLeast"/>
          <w:jc w:val="center"/>
        </w:trPr>
        <w:tc>
          <w:tcPr>
            <w:tcW w:w="558" w:type="dxa"/>
            <w:vMerge w:val="continue"/>
            <w:vAlign w:val="center"/>
          </w:tcPr>
          <w:p>
            <w:pPr>
              <w:jc w:val="center"/>
              <w:rPr>
                <w:rFonts w:hint="default" w:ascii="Times New Roman" w:hAnsi="Times New Roman" w:eastAsia="宋体" w:cs="Times New Roman"/>
                <w:sz w:val="24"/>
                <w:szCs w:val="24"/>
                <w:highlight w:val="none"/>
              </w:rPr>
            </w:pPr>
          </w:p>
        </w:tc>
        <w:tc>
          <w:tcPr>
            <w:tcW w:w="69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2</w:t>
            </w:r>
          </w:p>
        </w:tc>
        <w:tc>
          <w:tcPr>
            <w:tcW w:w="1461"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钢材</w:t>
            </w:r>
          </w:p>
        </w:tc>
        <w:tc>
          <w:tcPr>
            <w:tcW w:w="1539"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8000t</w:t>
            </w:r>
          </w:p>
        </w:tc>
        <w:tc>
          <w:tcPr>
            <w:tcW w:w="11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外购</w:t>
            </w:r>
          </w:p>
        </w:tc>
        <w:tc>
          <w:tcPr>
            <w:tcW w:w="1605"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val="0"/>
                <w:bCs w:val="0"/>
                <w:sz w:val="24"/>
                <w:szCs w:val="24"/>
                <w:highlight w:val="none"/>
                <w:u w:val="none"/>
                <w:lang w:val="en-US" w:eastAsia="zh-CN"/>
              </w:rPr>
              <w:t>8000t</w:t>
            </w:r>
          </w:p>
        </w:tc>
        <w:tc>
          <w:tcPr>
            <w:tcW w:w="1097" w:type="dxa"/>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23" w:hRule="atLeast"/>
          <w:jc w:val="center"/>
        </w:trPr>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69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3</w:t>
            </w:r>
          </w:p>
        </w:tc>
        <w:tc>
          <w:tcPr>
            <w:tcW w:w="1461"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铸件</w:t>
            </w:r>
          </w:p>
        </w:tc>
        <w:tc>
          <w:tcPr>
            <w:tcW w:w="1539"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400t</w:t>
            </w:r>
          </w:p>
        </w:tc>
        <w:tc>
          <w:tcPr>
            <w:tcW w:w="11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外购</w:t>
            </w:r>
          </w:p>
        </w:tc>
        <w:tc>
          <w:tcPr>
            <w:tcW w:w="160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400t</w:t>
            </w:r>
          </w:p>
        </w:tc>
        <w:tc>
          <w:tcPr>
            <w:tcW w:w="1097"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69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4</w:t>
            </w:r>
          </w:p>
        </w:tc>
        <w:tc>
          <w:tcPr>
            <w:tcW w:w="1461"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实心焊丝</w:t>
            </w:r>
          </w:p>
        </w:tc>
        <w:tc>
          <w:tcPr>
            <w:tcW w:w="1539"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250t</w:t>
            </w:r>
          </w:p>
        </w:tc>
        <w:tc>
          <w:tcPr>
            <w:tcW w:w="11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外购</w:t>
            </w:r>
          </w:p>
        </w:tc>
        <w:tc>
          <w:tcPr>
            <w:tcW w:w="160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250t</w:t>
            </w:r>
          </w:p>
        </w:tc>
        <w:tc>
          <w:tcPr>
            <w:tcW w:w="1097"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69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5</w:t>
            </w:r>
          </w:p>
        </w:tc>
        <w:tc>
          <w:tcPr>
            <w:tcW w:w="1461"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钛钙型焊条</w:t>
            </w:r>
          </w:p>
        </w:tc>
        <w:tc>
          <w:tcPr>
            <w:tcW w:w="1539"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50t</w:t>
            </w:r>
          </w:p>
        </w:tc>
        <w:tc>
          <w:tcPr>
            <w:tcW w:w="11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外购</w:t>
            </w:r>
          </w:p>
        </w:tc>
        <w:tc>
          <w:tcPr>
            <w:tcW w:w="160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50t</w:t>
            </w:r>
          </w:p>
        </w:tc>
        <w:tc>
          <w:tcPr>
            <w:tcW w:w="1097"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69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6</w:t>
            </w:r>
          </w:p>
        </w:tc>
        <w:tc>
          <w:tcPr>
            <w:tcW w:w="1461"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二氧化碳气体</w:t>
            </w:r>
          </w:p>
        </w:tc>
        <w:tc>
          <w:tcPr>
            <w:tcW w:w="1539"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400瓶</w:t>
            </w:r>
          </w:p>
        </w:tc>
        <w:tc>
          <w:tcPr>
            <w:tcW w:w="11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外购</w:t>
            </w:r>
          </w:p>
        </w:tc>
        <w:tc>
          <w:tcPr>
            <w:tcW w:w="160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400瓶</w:t>
            </w:r>
          </w:p>
        </w:tc>
        <w:tc>
          <w:tcPr>
            <w:tcW w:w="1097"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69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7</w:t>
            </w:r>
          </w:p>
        </w:tc>
        <w:tc>
          <w:tcPr>
            <w:tcW w:w="1461"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润滑油</w:t>
            </w:r>
          </w:p>
        </w:tc>
        <w:tc>
          <w:tcPr>
            <w:tcW w:w="1539"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0.2t</w:t>
            </w:r>
          </w:p>
        </w:tc>
        <w:tc>
          <w:tcPr>
            <w:tcW w:w="11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外购</w:t>
            </w:r>
          </w:p>
        </w:tc>
        <w:tc>
          <w:tcPr>
            <w:tcW w:w="1605"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0.2t</w:t>
            </w:r>
          </w:p>
        </w:tc>
        <w:tc>
          <w:tcPr>
            <w:tcW w:w="1097" w:type="dxa"/>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3" w:hRule="atLeast"/>
          <w:jc w:val="center"/>
        </w:trPr>
        <w:tc>
          <w:tcPr>
            <w:tcW w:w="558" w:type="dxa"/>
            <w:vMerge w:val="continue"/>
            <w:vAlign w:val="center"/>
          </w:tcPr>
          <w:p>
            <w:pPr>
              <w:jc w:val="center"/>
              <w:rPr>
                <w:rFonts w:hint="default" w:ascii="Times New Roman" w:hAnsi="Times New Roman" w:eastAsia="宋体" w:cs="Times New Roman"/>
                <w:sz w:val="24"/>
                <w:szCs w:val="24"/>
                <w:highlight w:val="cyan"/>
              </w:rPr>
            </w:pPr>
          </w:p>
        </w:tc>
        <w:tc>
          <w:tcPr>
            <w:tcW w:w="69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8</w:t>
            </w:r>
          </w:p>
        </w:tc>
        <w:tc>
          <w:tcPr>
            <w:tcW w:w="1461"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抹布</w:t>
            </w:r>
          </w:p>
        </w:tc>
        <w:tc>
          <w:tcPr>
            <w:tcW w:w="1539"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0.1t</w:t>
            </w:r>
          </w:p>
        </w:tc>
        <w:tc>
          <w:tcPr>
            <w:tcW w:w="11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外购</w:t>
            </w:r>
          </w:p>
        </w:tc>
        <w:tc>
          <w:tcPr>
            <w:tcW w:w="1605"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highlight w:val="none"/>
                <w:u w:val="none"/>
                <w:lang w:val="en-US" w:eastAsia="zh-CN"/>
              </w:rPr>
              <w:t>0.1t</w:t>
            </w:r>
          </w:p>
        </w:tc>
        <w:tc>
          <w:tcPr>
            <w:tcW w:w="1097" w:type="dxa"/>
            <w:vAlign w:val="center"/>
          </w:tcPr>
          <w:p>
            <w:pPr>
              <w:jc w:val="center"/>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highlight w:val="none"/>
                <w:u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558" w:type="dxa"/>
            <w:tcBorders>
              <w:top w:val="single" w:color="auto" w:sz="4" w:space="0"/>
            </w:tcBorders>
            <w:vAlign w:val="center"/>
          </w:tcPr>
          <w:p>
            <w:pPr>
              <w:jc w:val="center"/>
              <w:rPr>
                <w:rFonts w:hint="default" w:ascii="Times New Roman" w:hAnsi="Times New Roman" w:eastAsia="宋体" w:cs="Times New Roman"/>
                <w:sz w:val="24"/>
                <w:szCs w:val="24"/>
                <w:highlight w:val="cyan"/>
              </w:rPr>
            </w:pPr>
            <w:r>
              <w:rPr>
                <w:rFonts w:hint="default" w:ascii="Times New Roman" w:hAnsi="Times New Roman" w:eastAsia="宋体" w:cs="Times New Roman"/>
                <w:sz w:val="24"/>
                <w:szCs w:val="24"/>
                <w:highlight w:val="none"/>
              </w:rPr>
              <w:t>能耗</w:t>
            </w:r>
          </w:p>
        </w:tc>
        <w:tc>
          <w:tcPr>
            <w:tcW w:w="696" w:type="dxa"/>
            <w:tcBorders>
              <w:top w:val="single" w:color="auto" w:sz="4" w:space="0"/>
            </w:tcBorders>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eastAsia" w:ascii="Times New Roman" w:hAnsi="Times New Roman" w:eastAsia="宋体" w:cs="Times New Roman"/>
                <w:b w:val="0"/>
                <w:bCs w:val="0"/>
                <w:sz w:val="24"/>
                <w:szCs w:val="24"/>
                <w:highlight w:val="none"/>
                <w:u w:val="none"/>
                <w:lang w:val="en-US" w:eastAsia="zh-CN"/>
              </w:rPr>
              <w:t>10</w:t>
            </w:r>
          </w:p>
        </w:tc>
        <w:tc>
          <w:tcPr>
            <w:tcW w:w="1461"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电</w:t>
            </w:r>
          </w:p>
        </w:tc>
        <w:tc>
          <w:tcPr>
            <w:tcW w:w="1539"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20万kW·h/a</w:t>
            </w:r>
          </w:p>
        </w:tc>
        <w:tc>
          <w:tcPr>
            <w:tcW w:w="1176" w:type="dxa"/>
            <w:vAlign w:val="center"/>
          </w:tcPr>
          <w:p>
            <w:pPr>
              <w:jc w:val="center"/>
              <w:rPr>
                <w:rFonts w:hint="default" w:ascii="Times New Roman" w:hAnsi="Times New Roman" w:eastAsia="宋体" w:cs="Times New Roman"/>
                <w:b w:val="0"/>
                <w:bCs w:val="0"/>
                <w:sz w:val="24"/>
                <w:szCs w:val="24"/>
                <w:highlight w:val="none"/>
                <w:u w:val="none"/>
                <w:lang w:val="en-US" w:eastAsia="zh-CN"/>
              </w:rPr>
            </w:pPr>
            <w:r>
              <w:rPr>
                <w:rFonts w:hint="default" w:ascii="Times New Roman" w:hAnsi="Times New Roman" w:eastAsia="宋体" w:cs="Times New Roman"/>
                <w:b w:val="0"/>
                <w:bCs w:val="0"/>
                <w:sz w:val="24"/>
                <w:szCs w:val="24"/>
                <w:highlight w:val="none"/>
                <w:u w:val="none"/>
                <w:lang w:val="en-US" w:eastAsia="zh-CN"/>
              </w:rPr>
              <w:t>唐庄镇供电</w:t>
            </w:r>
          </w:p>
        </w:tc>
        <w:tc>
          <w:tcPr>
            <w:tcW w:w="160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b w:val="0"/>
                <w:bCs w:val="0"/>
                <w:sz w:val="24"/>
                <w:szCs w:val="24"/>
                <w:highlight w:val="none"/>
                <w:u w:val="none"/>
                <w:lang w:val="en-US" w:eastAsia="zh-CN"/>
              </w:rPr>
              <w:t>20万kW·h/a</w:t>
            </w:r>
          </w:p>
        </w:tc>
        <w:tc>
          <w:tcPr>
            <w:tcW w:w="109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b w:val="0"/>
                <w:bCs w:val="0"/>
                <w:sz w:val="24"/>
                <w:szCs w:val="24"/>
                <w:highlight w:val="none"/>
                <w:u w:val="none"/>
                <w:lang w:val="en-US" w:eastAsia="zh-CN"/>
              </w:rPr>
              <w:t>一致</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b/>
          <w:bCs/>
          <w:sz w:val="30"/>
          <w:szCs w:val="30"/>
          <w:highlight w:val="none"/>
          <w:lang w:val="en-US" w:eastAsia="zh-CN"/>
        </w:rPr>
      </w:pPr>
      <w:r>
        <w:rPr>
          <w:rFonts w:hint="default" w:ascii="Times New Roman" w:hAnsi="Times New Roman" w:eastAsia="宋体" w:cs="Times New Roman"/>
          <w:b/>
          <w:bCs/>
          <w:sz w:val="30"/>
          <w:szCs w:val="30"/>
          <w:highlight w:val="none"/>
          <w:lang w:val="en-US" w:eastAsia="zh-CN"/>
        </w:rPr>
        <w:t>4</w:t>
      </w:r>
      <w:bookmarkEnd w:id="17"/>
      <w:r>
        <w:rPr>
          <w:rFonts w:hint="default" w:ascii="Times New Roman" w:hAnsi="Times New Roman" w:eastAsia="宋体" w:cs="Times New Roman"/>
          <w:b/>
          <w:bCs/>
          <w:sz w:val="30"/>
          <w:szCs w:val="30"/>
          <w:highlight w:val="none"/>
          <w:lang w:val="en-US" w:eastAsia="zh-CN"/>
        </w:rPr>
        <w:t>.水源及水平衡</w:t>
      </w:r>
      <w:bookmarkStart w:id="18" w:name="_Toc497001446"/>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本项目不产生生产废水，本项目员工借调原有项目职工，不新增员工人数，故无新增用水量产生。</w:t>
      </w:r>
    </w:p>
    <w:p>
      <w:pPr>
        <w:pStyle w:val="2"/>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t>5</w:t>
      </w:r>
      <w:bookmarkEnd w:id="18"/>
      <w: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t>.生产工艺</w:t>
      </w:r>
    </w:p>
    <w:p>
      <w:pPr>
        <w:pStyle w:val="2"/>
        <w:ind w:firstLine="560" w:firstLineChars="200"/>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本项目工程主要生产工艺流程及产污环节见图4。</w:t>
      </w:r>
    </w:p>
    <w:p>
      <w:pPr>
        <w:rPr>
          <w:rFonts w:hint="default" w:ascii="Times New Roman" w:hAnsi="Times New Roman" w:eastAsia="宋体" w:cs="Times New Roman"/>
          <w:lang w:val="en-US" w:eastAsia="zh-CN"/>
        </w:rPr>
      </w:pPr>
      <w:r>
        <w:drawing>
          <wp:inline distT="0" distB="0" distL="114300" distR="114300">
            <wp:extent cx="5272405" cy="2649220"/>
            <wp:effectExtent l="0" t="0" r="4445" b="1778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9"/>
                    <a:stretch>
                      <a:fillRect/>
                    </a:stretch>
                  </pic:blipFill>
                  <pic:spPr>
                    <a:xfrm>
                      <a:off x="0" y="0"/>
                      <a:ext cx="5272405" cy="2649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图4</w:t>
      </w:r>
      <w:r>
        <w:rPr>
          <w:rFonts w:hint="default" w:ascii="Times New Roman" w:hAnsi="Times New Roman" w:eastAsia="宋体" w:cs="Times New Roman"/>
          <w:sz w:val="24"/>
          <w:highlight w:val="none"/>
        </w:rPr>
        <w:t xml:space="preserve"> </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项目生产工艺流程及产污环节示意图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工艺流程说明：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①</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打磨：首先将购进的原材料进行打磨清理干净。</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②剪板：</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再</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将</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打磨好</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的钢材、型材进行剪切，依据需要</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剪切</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出不同大小形状的钢材。</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③冲孔：根据制造</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要求</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，对剪切好的钢材进行冲孔，</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冲出不同口径的孔。</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④切割：采用数控切割机</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等设备</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对板材等切割处理。</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⑤机加工：将</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切割、冲孔好的</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板材、部件等进行精细处理。</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⑥焊接：采用</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二保焊、氩弧焊等焊机将机械加工好的</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钢材、型材</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进行拼装</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焊接起来。</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⑦</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组装：将处理过的钢材、板材组装在一起，形成成品。</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kern w:val="2"/>
          <w:sz w:val="30"/>
          <w:szCs w:val="30"/>
          <w:highlight w:val="none"/>
          <w:lang w:val="en-US" w:eastAsia="zh-CN" w:bidi="ar-SA"/>
        </w:rPr>
      </w:pPr>
      <w:r>
        <w:rPr>
          <w:rFonts w:hint="default" w:ascii="Times New Roman" w:hAnsi="Times New Roman" w:eastAsia="宋体" w:cs="Times New Roman"/>
          <w:b/>
          <w:bCs/>
          <w:kern w:val="2"/>
          <w:sz w:val="30"/>
          <w:szCs w:val="30"/>
          <w:highlight w:val="none"/>
          <w:lang w:val="en-US" w:eastAsia="zh-CN" w:bidi="ar-SA"/>
        </w:rPr>
        <w:t>6.</w:t>
      </w:r>
      <w:r>
        <w:rPr>
          <w:rFonts w:hint="default" w:ascii="Times New Roman" w:hAnsi="Times New Roman" w:eastAsia="宋体" w:cs="Times New Roman"/>
          <w:b/>
          <w:bCs/>
          <w:color w:val="auto"/>
          <w:kern w:val="2"/>
          <w:sz w:val="30"/>
          <w:szCs w:val="30"/>
          <w:highlight w:val="none"/>
          <w:lang w:val="en-US" w:eastAsia="zh-CN" w:bidi="ar-SA"/>
        </w:rPr>
        <w:t>项目变动情况</w:t>
      </w:r>
    </w:p>
    <w:p>
      <w:pPr>
        <w:pStyle w:val="14"/>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Times New Roman" w:hAnsi="Times New Roman" w:eastAsia="宋体" w:cs="Times New Roman"/>
          <w:b w:val="0"/>
          <w:color w:val="auto"/>
          <w:kern w:val="2"/>
          <w:sz w:val="28"/>
          <w:szCs w:val="24"/>
          <w:highlight w:val="none"/>
          <w:lang w:val="en-US" w:eastAsia="zh-CN" w:bidi="ar-SA"/>
        </w:rPr>
      </w:pPr>
      <w:bookmarkStart w:id="19" w:name="_Toc497001458"/>
      <w:r>
        <w:rPr>
          <w:rFonts w:hint="eastAsia" w:ascii="Times New Roman" w:hAnsi="Times New Roman" w:eastAsia="宋体" w:cs="Times New Roman"/>
          <w:b w:val="0"/>
          <w:color w:val="auto"/>
          <w:kern w:val="2"/>
          <w:sz w:val="28"/>
          <w:szCs w:val="24"/>
          <w:highlight w:val="none"/>
          <w:lang w:val="en-US" w:eastAsia="zh-CN" w:bidi="ar-SA"/>
        </w:rPr>
        <w:t>经现场实地勘察，项目实际建设与原环评报告及环评批复存在以下变动：</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108" w:rightChars="0" w:firstLine="560" w:firstLineChars="20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原环评中含油废抹布处理方式为在垃圾桶中暂存后混入生活垃圾中，运至垃圾中转站处理。而实际</w:t>
      </w:r>
      <w:r>
        <w:rPr>
          <w:rFonts w:hint="eastAsia" w:ascii="Times New Roman" w:hAnsi="Times New Roman" w:cs="Times New Roman"/>
          <w:sz w:val="28"/>
          <w:szCs w:val="28"/>
          <w:vertAlign w:val="baseline"/>
          <w:lang w:val="en-US" w:eastAsia="zh-CN"/>
        </w:rPr>
        <w:t>含油废抹布是在危废间暂存后混入生活垃圾</w:t>
      </w:r>
      <w:r>
        <w:rPr>
          <w:rFonts w:hint="eastAsia" w:ascii="Times New Roman" w:hAnsi="Times New Roman" w:cs="Times New Roman"/>
          <w:sz w:val="28"/>
          <w:szCs w:val="28"/>
          <w:lang w:val="en-US" w:eastAsia="zh-CN"/>
        </w:rPr>
        <w:t>，运至垃圾中转站处理。</w:t>
      </w:r>
    </w:p>
    <w:p>
      <w:pPr>
        <w:pStyle w:val="14"/>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lang w:val="en-US" w:eastAsia="zh-CN"/>
        </w:rPr>
      </w:pPr>
      <w:r>
        <w:rPr>
          <w:rFonts w:hint="eastAsia" w:ascii="Times New Roman" w:hAnsi="Times New Roman" w:eastAsia="宋体" w:cs="Times New Roman"/>
          <w:sz w:val="28"/>
          <w:szCs w:val="21"/>
          <w:lang w:val="zh-CN" w:eastAsia="zh-CN"/>
        </w:rPr>
        <w:t>企业通过合理分配环保设备，优化环保措施，使污染物能够实现达标排放。</w:t>
      </w:r>
      <w:r>
        <w:rPr>
          <w:rFonts w:hint="eastAsia" w:ascii="Times New Roman" w:hAnsi="Times New Roman" w:eastAsia="宋体" w:cs="Times New Roman"/>
          <w:sz w:val="28"/>
          <w:szCs w:val="21"/>
          <w:lang w:val="en-US" w:eastAsia="zh-CN"/>
        </w:rPr>
        <w:t>根据监测数据及企业实际采取的措施，污染物均得到合理的处置，无新增污染物产生，因此不属于重大变动。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四、</w:t>
      </w:r>
      <w:bookmarkEnd w:id="19"/>
      <w:r>
        <w:rPr>
          <w:rFonts w:hint="default" w:ascii="Times New Roman" w:hAnsi="Times New Roman" w:eastAsia="宋体" w:cs="Times New Roman"/>
          <w:b/>
          <w:bCs/>
          <w:sz w:val="36"/>
          <w:szCs w:val="36"/>
          <w:highlight w:val="none"/>
          <w:lang w:val="en-US" w:eastAsia="zh-CN"/>
        </w:rPr>
        <w:t>环境保护设施</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30"/>
          <w:szCs w:val="30"/>
          <w:highlight w:val="none"/>
          <w:lang w:val="en-US" w:eastAsia="zh-CN" w:bidi="ar-SA"/>
        </w:rPr>
      </w:pPr>
      <w:bookmarkStart w:id="20" w:name="_Toc497001459"/>
      <w:r>
        <w:rPr>
          <w:rFonts w:hint="default" w:ascii="Times New Roman" w:hAnsi="Times New Roman" w:eastAsia="宋体" w:cs="Times New Roman"/>
          <w:b/>
          <w:bCs/>
          <w:kern w:val="2"/>
          <w:sz w:val="30"/>
          <w:szCs w:val="30"/>
          <w:highlight w:val="none"/>
          <w:lang w:val="en-US" w:eastAsia="zh-CN" w:bidi="ar-SA"/>
        </w:rPr>
        <w:t>1.污染物治理/处置设施</w:t>
      </w:r>
    </w:p>
    <w:bookmarkEnd w:id="20"/>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sz w:val="28"/>
          <w:szCs w:val="28"/>
          <w:highlight w:val="none"/>
          <w:lang w:val="en-US" w:eastAsia="zh-CN"/>
        </w:rPr>
      </w:pPr>
      <w:bookmarkStart w:id="21" w:name="_Toc497001461"/>
      <w:bookmarkStart w:id="22" w:name="_Toc496979024"/>
      <w:r>
        <w:rPr>
          <w:rFonts w:hint="default" w:ascii="Times New Roman" w:hAnsi="Times New Roman" w:eastAsia="宋体" w:cs="Times New Roman"/>
          <w:b w:val="0"/>
          <w:bCs w:val="0"/>
          <w:sz w:val="28"/>
          <w:szCs w:val="28"/>
          <w:highlight w:val="none"/>
          <w:lang w:val="en-US" w:eastAsia="zh-CN"/>
        </w:rPr>
        <w:t>1.1 废水</w:t>
      </w:r>
      <w:bookmarkEnd w:id="21"/>
      <w:bookmarkEnd w:id="22"/>
      <w:r>
        <w:rPr>
          <w:rFonts w:hint="default" w:ascii="Times New Roman" w:hAnsi="Times New Roman" w:eastAsia="宋体" w:cs="Times New Roman"/>
          <w:b w:val="0"/>
          <w:bCs w:val="0"/>
          <w:sz w:val="28"/>
          <w:szCs w:val="28"/>
          <w:highlight w:val="none"/>
          <w:lang w:val="en-US" w:eastAsia="zh-CN"/>
        </w:rPr>
        <w:t xml:space="preserve"> </w:t>
      </w:r>
    </w:p>
    <w:p>
      <w:pPr>
        <w:adjustRightInd w:val="0"/>
        <w:snapToGrid w:val="0"/>
        <w:spacing w:line="360" w:lineRule="auto"/>
        <w:ind w:firstLine="560" w:firstLineChars="200"/>
        <w:textAlignment w:val="baseline"/>
        <w:rPr>
          <w:rFonts w:hint="default" w:ascii="Times New Roman" w:hAnsi="Times New Roman" w:eastAsia="宋体" w:cs="Times New Roman"/>
          <w:color w:val="auto"/>
          <w:sz w:val="28"/>
          <w:szCs w:val="28"/>
          <w:highlight w:val="none"/>
          <w:lang w:val="en-US" w:eastAsia="zh-CN"/>
        </w:rPr>
      </w:pPr>
      <w:bookmarkStart w:id="23" w:name="_Toc497001462"/>
      <w:bookmarkStart w:id="24" w:name="_Toc496979025"/>
      <w:r>
        <w:rPr>
          <w:rFonts w:hint="default" w:ascii="Times New Roman" w:hAnsi="Times New Roman" w:eastAsia="宋体" w:cs="Times New Roman"/>
          <w:color w:val="auto"/>
          <w:sz w:val="28"/>
          <w:szCs w:val="28"/>
          <w:highlight w:val="none"/>
          <w:lang w:val="en-US" w:eastAsia="zh-CN"/>
        </w:rPr>
        <w:t>本项目无生产废水产生，由于本项目员工借调原有项目职工，不新增员工人数，无新增生活污水产生。</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sz w:val="28"/>
          <w:szCs w:val="28"/>
          <w:highlight w:val="none"/>
          <w:lang w:val="zh-CN" w:eastAsia="zh-CN"/>
        </w:rPr>
      </w:pPr>
      <w:r>
        <w:rPr>
          <w:rFonts w:hint="default" w:ascii="Times New Roman" w:hAnsi="Times New Roman" w:eastAsia="宋体" w:cs="Times New Roman"/>
          <w:b w:val="0"/>
          <w:bCs w:val="0"/>
          <w:sz w:val="28"/>
          <w:szCs w:val="28"/>
          <w:highlight w:val="none"/>
          <w:lang w:val="en-US" w:eastAsia="zh-CN"/>
        </w:rPr>
        <w:t>1.2 废气</w:t>
      </w:r>
      <w:bookmarkEnd w:id="23"/>
      <w:bookmarkEnd w:id="24"/>
      <w:bookmarkStart w:id="25" w:name="_Toc497001463"/>
      <w:bookmarkStart w:id="26" w:name="_Toc496979026"/>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0"/>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本项目工程废气主要为打磨、切割及焊接烟尘</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本项目打磨、切割及焊接过程在固定区域，并在该区域上方设置集气罩，</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共用一套</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袋式除尘器处理后，通过15m</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高</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排气筒排放。</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olor w:val="auto"/>
          <w:sz w:val="28"/>
          <w:szCs w:val="28"/>
          <w:highlight w:val="none"/>
        </w:rPr>
      </w:pPr>
      <w:r>
        <w:rPr>
          <w:rFonts w:hint="eastAsia" w:ascii="Times New Roman" w:hAnsi="Times New Roman" w:eastAsia="宋体" w:cs="Times New Roman"/>
          <w:color w:val="auto"/>
          <w:sz w:val="28"/>
          <w:szCs w:val="28"/>
          <w:highlight w:val="none"/>
          <w:lang w:val="en-US" w:eastAsia="zh-CN"/>
        </w:rPr>
        <w:t xml:space="preserve">本工程安装的废气环保设施现场照片如下图 </w:t>
      </w:r>
      <w:r>
        <w:rPr>
          <w:rFonts w:hint="default" w:ascii="Times New Roman" w:hAnsi="Times New Roman" w:eastAsia="宋体" w:cs="Times New Roman"/>
          <w:color w:val="auto"/>
          <w:sz w:val="28"/>
          <w:szCs w:val="28"/>
          <w:highlight w:val="none"/>
          <w:lang w:val="en-US" w:eastAsia="zh-CN"/>
        </w:rPr>
        <w:t>4-1-</w:t>
      </w:r>
      <w:r>
        <w:rPr>
          <w:rFonts w:hint="eastAsia" w:ascii="Times New Roman" w:hAnsi="Times New Roman" w:eastAsia="宋体" w:cs="Times New Roman"/>
          <w:color w:val="auto"/>
          <w:sz w:val="28"/>
          <w:szCs w:val="28"/>
          <w:highlight w:val="none"/>
          <w:lang w:val="en-US" w:eastAsia="zh-CN"/>
        </w:rPr>
        <w:t>2</w:t>
      </w:r>
      <w:r>
        <w:rPr>
          <w:rFonts w:hint="default"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所示。</w:t>
      </w:r>
    </w:p>
    <w:p>
      <w:pPr>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2061210" cy="2404745"/>
            <wp:effectExtent l="0" t="0" r="15240" b="14605"/>
            <wp:docPr id="5" name="图片 5" descr="微信图片_2020110910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109102011"/>
                    <pic:cNvPicPr>
                      <a:picLocks noChangeAspect="1"/>
                    </pic:cNvPicPr>
                  </pic:nvPicPr>
                  <pic:blipFill>
                    <a:blip r:embed="rId10"/>
                    <a:srcRect t="30347"/>
                    <a:stretch>
                      <a:fillRect/>
                    </a:stretch>
                  </pic:blipFill>
                  <pic:spPr>
                    <a:xfrm>
                      <a:off x="0" y="0"/>
                      <a:ext cx="2061210" cy="240474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956435" cy="2417445"/>
            <wp:effectExtent l="0" t="0" r="5715" b="1905"/>
            <wp:docPr id="8" name="图片 8" descr="微信图片_2020110910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109102007"/>
                    <pic:cNvPicPr>
                      <a:picLocks noChangeAspect="1"/>
                    </pic:cNvPicPr>
                  </pic:nvPicPr>
                  <pic:blipFill>
                    <a:blip r:embed="rId11"/>
                    <a:srcRect b="41538"/>
                    <a:stretch>
                      <a:fillRect/>
                    </a:stretch>
                  </pic:blipFill>
                  <pic:spPr>
                    <a:xfrm>
                      <a:off x="0" y="0"/>
                      <a:ext cx="1956435" cy="241744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 xml:space="preserve">图 </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4-1-</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2</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 xml:space="preserve"> </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 xml:space="preserve"> 袋式除尘器和15m高排气筒</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mc:AlternateContent>
          <mc:Choice Requires="wps">
            <w:drawing>
              <wp:anchor distT="0" distB="0" distL="114300" distR="114300" simplePos="0" relativeHeight="2725734400"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1569232896;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ascii="Times New Roman" w:hAnsi="Times New Roman" w:eastAsia="宋体" w:cs="Times New Roman"/>
          <w:b w:val="0"/>
          <w:bCs w:val="0"/>
          <w:sz w:val="28"/>
          <w:szCs w:val="28"/>
          <w:highlight w:val="none"/>
          <w:lang w:val="en-US" w:eastAsia="zh-CN"/>
        </w:rPr>
        <w:t>1.3 噪声</w:t>
      </w:r>
      <w:bookmarkEnd w:id="25"/>
      <w:bookmarkEnd w:id="26"/>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bookmarkStart w:id="27" w:name="_Toc497001464"/>
      <w:bookmarkStart w:id="28" w:name="_Toc496979027"/>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该项目生产过程中产生的噪声主要</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来自</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机械设备运行噪声</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，工程噪声源强在70~85dB（A）。项目选用低噪声设备，采用加大减震基础，安装减震装置，合理安排作业时间，合理布局，采用封闭式生产车间，使用隔声墙体，厂内设置绿化带隔声。</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1.4 固体废物</w:t>
      </w:r>
      <w:bookmarkEnd w:id="27"/>
      <w:bookmarkEnd w:id="28"/>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本项目固废排放情况及处置措施一览表见表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8"/>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1440" w:firstLineChars="600"/>
        <w:textAlignment w:val="auto"/>
        <w:outlineLvl w:val="9"/>
        <w:rPr>
          <w:rFonts w:hint="default"/>
          <w:lang w:val="en-US" w:eastAsia="zh-CN"/>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表6     固废排放情况及处置措施一览表</w:t>
      </w:r>
    </w:p>
    <w:tbl>
      <w:tblPr>
        <w:tblStyle w:val="30"/>
        <w:tblW w:w="8003"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875"/>
        <w:gridCol w:w="2700"/>
        <w:gridCol w:w="1672"/>
        <w:gridCol w:w="275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471" w:hRule="atLeast"/>
          <w:jc w:val="center"/>
        </w:trPr>
        <w:tc>
          <w:tcPr>
            <w:tcW w:w="875"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序号</w:t>
            </w:r>
          </w:p>
        </w:tc>
        <w:tc>
          <w:tcPr>
            <w:tcW w:w="2700"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污染物名称</w:t>
            </w:r>
          </w:p>
        </w:tc>
        <w:tc>
          <w:tcPr>
            <w:tcW w:w="1672"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类别</w:t>
            </w:r>
          </w:p>
        </w:tc>
        <w:tc>
          <w:tcPr>
            <w:tcW w:w="2756" w:type="dxa"/>
            <w:tcBorders>
              <w:top w:val="single" w:color="auto" w:sz="4" w:space="0"/>
              <w:bottom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处置措施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02" w:hRule="atLeast"/>
          <w:jc w:val="center"/>
        </w:trPr>
        <w:tc>
          <w:tcPr>
            <w:tcW w:w="875"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p>
        </w:tc>
        <w:tc>
          <w:tcPr>
            <w:tcW w:w="2700"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边角料</w:t>
            </w:r>
          </w:p>
        </w:tc>
        <w:tc>
          <w:tcPr>
            <w:tcW w:w="1672" w:type="dxa"/>
            <w:vMerge w:val="restart"/>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一般固废</w:t>
            </w:r>
          </w:p>
        </w:tc>
        <w:tc>
          <w:tcPr>
            <w:tcW w:w="2756" w:type="dxa"/>
            <w:vMerge w:val="restart"/>
            <w:tcBorders>
              <w:top w:val="single" w:color="auto" w:sz="4" w:space="0"/>
              <w:bottom w:val="single" w:color="auto" w:sz="4" w:space="0"/>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依托原有</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固废暂存间集中收集后统一外售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471" w:hRule="atLeast"/>
          <w:jc w:val="center"/>
        </w:trPr>
        <w:tc>
          <w:tcPr>
            <w:tcW w:w="875" w:type="dxa"/>
            <w:tcBorders>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p>
        </w:tc>
        <w:tc>
          <w:tcPr>
            <w:tcW w:w="2700" w:type="dxa"/>
            <w:tcBorders>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废弃焊条</w:t>
            </w:r>
          </w:p>
        </w:tc>
        <w:tc>
          <w:tcPr>
            <w:tcW w:w="1672" w:type="dxa"/>
            <w:vMerge w:val="continue"/>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2756" w:type="dxa"/>
            <w:vMerge w:val="continue"/>
            <w:tcBorders>
              <w:top w:val="single" w:color="auto" w:sz="4" w:space="0"/>
              <w:bottom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179" w:hRule="atLeast"/>
          <w:jc w:val="center"/>
        </w:trPr>
        <w:tc>
          <w:tcPr>
            <w:tcW w:w="875" w:type="dxa"/>
            <w:tcBorders>
              <w:top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p>
        </w:tc>
        <w:tc>
          <w:tcPr>
            <w:tcW w:w="2700" w:type="dxa"/>
            <w:tcBorders>
              <w:top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袋式除尘器收集的粉尘</w:t>
            </w:r>
          </w:p>
        </w:tc>
        <w:tc>
          <w:tcPr>
            <w:tcW w:w="1672" w:type="dxa"/>
            <w:vMerge w:val="continue"/>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p>
        </w:tc>
        <w:tc>
          <w:tcPr>
            <w:tcW w:w="2756" w:type="dxa"/>
            <w:vMerge w:val="continue"/>
            <w:tcBorders>
              <w:top w:val="single" w:color="auto" w:sz="4" w:space="0"/>
              <w:bottom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55" w:hRule="atLeast"/>
          <w:jc w:val="center"/>
        </w:trPr>
        <w:tc>
          <w:tcPr>
            <w:tcW w:w="875" w:type="dxa"/>
            <w:tcBorders>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w:t>
            </w:r>
          </w:p>
        </w:tc>
        <w:tc>
          <w:tcPr>
            <w:tcW w:w="2700" w:type="dxa"/>
            <w:tcBorders>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含油废抹布</w:t>
            </w:r>
          </w:p>
        </w:tc>
        <w:tc>
          <w:tcPr>
            <w:tcW w:w="1672"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危险废物</w:t>
            </w:r>
          </w:p>
        </w:tc>
        <w:tc>
          <w:tcPr>
            <w:tcW w:w="2756" w:type="dxa"/>
            <w:tcBorders>
              <w:top w:val="single" w:color="auto" w:sz="4" w:space="0"/>
              <w:bottom w:val="single" w:color="auto" w:sz="4" w:space="0"/>
              <w:right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依托原有危废暂存间</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，运至垃圾中转站集中处理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cantSplit/>
          <w:trHeight w:val="555" w:hRule="atLeast"/>
          <w:jc w:val="center"/>
        </w:trPr>
        <w:tc>
          <w:tcPr>
            <w:tcW w:w="875" w:type="dxa"/>
            <w:tcBorders>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5</w:t>
            </w:r>
          </w:p>
        </w:tc>
        <w:tc>
          <w:tcPr>
            <w:tcW w:w="2700" w:type="dxa"/>
            <w:tcBorders>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废润滑油</w:t>
            </w:r>
          </w:p>
        </w:tc>
        <w:tc>
          <w:tcPr>
            <w:tcW w:w="1672" w:type="dxa"/>
            <w:tcBorders>
              <w:top w:val="single" w:color="auto" w:sz="4" w:space="0"/>
              <w:bottom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危险废物</w:t>
            </w:r>
          </w:p>
        </w:tc>
        <w:tc>
          <w:tcPr>
            <w:tcW w:w="2756" w:type="dxa"/>
            <w:tcBorders>
              <w:top w:val="single" w:color="auto" w:sz="4" w:space="0"/>
              <w:bottom w:val="single" w:color="auto" w:sz="4" w:space="0"/>
              <w:right w:val="single" w:color="auto" w:sz="4" w:space="0"/>
              <w:tl2br w:val="nil"/>
              <w:tr2bl w:val="nil"/>
            </w:tcBorders>
            <w:noWrap w:val="0"/>
            <w:vAlign w:val="center"/>
          </w:tcPr>
          <w:p>
            <w:pPr>
              <w:pStyle w:val="131"/>
              <w:adjustRightInd w:val="0"/>
              <w:snapToGrid w:val="0"/>
              <w:spacing w:line="240" w:lineRule="auto"/>
              <w:jc w:val="cente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依托原有危废暂存间</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，定期由</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洛阳德鑫环保科技有限公司</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处理</w:t>
            </w: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default" w:ascii="Times New Roman" w:hAnsi="Times New Roman" w:eastAsia="宋体" w:cs="Times New Roman"/>
          <w:b/>
          <w:bCs/>
          <w:spacing w:val="0"/>
          <w:sz w:val="28"/>
          <w:szCs w:val="28"/>
          <w:highlight w:val="yellow"/>
          <w:lang w:eastAsia="zh-CN"/>
        </w:rPr>
      </w:pPr>
      <w:r>
        <w:rPr>
          <w:rFonts w:hint="eastAsia" w:ascii="Times New Roman" w:hAnsi="Times New Roman" w:eastAsia="宋体" w:cs="Times New Roman"/>
          <w:b w:val="0"/>
          <w:bCs w:val="0"/>
          <w:color w:val="auto"/>
          <w:sz w:val="28"/>
          <w:szCs w:val="28"/>
          <w:highlight w:val="none"/>
          <w:lang w:val="en-US" w:eastAsia="zh-CN"/>
        </w:rPr>
        <w:t>本工程安装的</w:t>
      </w:r>
      <w:r>
        <w:rPr>
          <w:rFonts w:hint="eastAsia" w:ascii="Times New Roman" w:hAnsi="Times New Roman" w:cs="Times New Roman"/>
          <w:b w:val="0"/>
          <w:bCs w:val="0"/>
          <w:color w:val="auto"/>
          <w:sz w:val="28"/>
          <w:szCs w:val="28"/>
          <w:highlight w:val="none"/>
          <w:lang w:val="en-US" w:eastAsia="zh-CN"/>
        </w:rPr>
        <w:t>固废间和</w:t>
      </w:r>
      <w:r>
        <w:rPr>
          <w:rFonts w:hint="eastAsia" w:ascii="Times New Roman" w:hAnsi="Times New Roman" w:eastAsia="宋体" w:cs="Times New Roman"/>
          <w:b w:val="0"/>
          <w:bCs w:val="0"/>
          <w:color w:val="auto"/>
          <w:sz w:val="28"/>
          <w:szCs w:val="28"/>
          <w:highlight w:val="none"/>
          <w:lang w:val="en-US" w:eastAsia="zh-CN"/>
        </w:rPr>
        <w:t xml:space="preserve">危废间现场照片如下图 </w:t>
      </w:r>
      <w:r>
        <w:rPr>
          <w:rFonts w:hint="default" w:ascii="Times New Roman" w:hAnsi="Times New Roman" w:eastAsia="宋体" w:cs="Times New Roman"/>
          <w:b w:val="0"/>
          <w:bCs w:val="0"/>
          <w:color w:val="auto"/>
          <w:sz w:val="28"/>
          <w:szCs w:val="28"/>
          <w:highlight w:val="none"/>
          <w:lang w:val="en-US" w:eastAsia="zh-CN"/>
        </w:rPr>
        <w:t>4-1-</w:t>
      </w:r>
      <w:r>
        <w:rPr>
          <w:rFonts w:hint="eastAsia"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lang w:val="en-US" w:eastAsia="zh-CN"/>
        </w:rPr>
        <w:t xml:space="preserve"> </w:t>
      </w:r>
      <w:r>
        <w:rPr>
          <w:rFonts w:hint="eastAsia" w:ascii="Times New Roman" w:hAnsi="Times New Roman" w:eastAsia="宋体" w:cs="Times New Roman"/>
          <w:b w:val="0"/>
          <w:bCs w:val="0"/>
          <w:color w:val="auto"/>
          <w:sz w:val="28"/>
          <w:szCs w:val="28"/>
          <w:highlight w:val="none"/>
          <w:lang w:val="en-US" w:eastAsia="zh-CN"/>
        </w:rPr>
        <w:t>所示。</w:t>
      </w:r>
      <w:r>
        <w:rPr>
          <w:rFonts w:hint="default" w:ascii="Times New Roman" w:hAnsi="Times New Roman" w:eastAsia="宋体" w:cs="Times New Roman"/>
          <w:b/>
          <w:bCs/>
          <w:spacing w:val="0"/>
          <w:sz w:val="28"/>
          <w:szCs w:val="28"/>
          <w:highlight w:val="none"/>
          <w:lang w:eastAsia="zh-CN"/>
        </w:rPr>
        <w:drawing>
          <wp:inline distT="0" distB="0" distL="114300" distR="114300">
            <wp:extent cx="2508250" cy="1951355"/>
            <wp:effectExtent l="0" t="0" r="6350" b="10795"/>
            <wp:docPr id="14" name="图片 14" descr="160488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04889204"/>
                    <pic:cNvPicPr>
                      <a:picLocks noChangeAspect="1"/>
                    </pic:cNvPicPr>
                  </pic:nvPicPr>
                  <pic:blipFill>
                    <a:blip r:embed="rId12"/>
                    <a:srcRect r="1863"/>
                    <a:stretch>
                      <a:fillRect/>
                    </a:stretch>
                  </pic:blipFill>
                  <pic:spPr>
                    <a:xfrm>
                      <a:off x="0" y="0"/>
                      <a:ext cx="2508250" cy="1951355"/>
                    </a:xfrm>
                    <a:prstGeom prst="rect">
                      <a:avLst/>
                    </a:prstGeom>
                    <a:ln>
                      <a:noFill/>
                    </a:ln>
                  </pic:spPr>
                </pic:pic>
              </a:graphicData>
            </a:graphic>
          </wp:inline>
        </w:drawing>
      </w:r>
      <w:r>
        <w:rPr>
          <w:rFonts w:hint="default" w:ascii="Times New Roman" w:hAnsi="Times New Roman" w:eastAsia="宋体" w:cs="Times New Roman"/>
          <w:b/>
          <w:bCs/>
          <w:spacing w:val="0"/>
          <w:sz w:val="28"/>
          <w:szCs w:val="28"/>
          <w:highlight w:val="none"/>
          <w:lang w:eastAsia="zh-CN"/>
        </w:rPr>
        <w:drawing>
          <wp:inline distT="0" distB="0" distL="114300" distR="114300">
            <wp:extent cx="2611120" cy="1958975"/>
            <wp:effectExtent l="0" t="0" r="17780" b="3175"/>
            <wp:docPr id="10" name="图片 10" descr="95979bd2d9dce70858e84810d267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5979bd2d9dce70858e84810d267d7e"/>
                    <pic:cNvPicPr>
                      <a:picLocks noChangeAspect="1"/>
                    </pic:cNvPicPr>
                  </pic:nvPicPr>
                  <pic:blipFill>
                    <a:blip r:embed="rId13"/>
                    <a:stretch>
                      <a:fillRect/>
                    </a:stretch>
                  </pic:blipFill>
                  <pic:spPr>
                    <a:xfrm>
                      <a:off x="0" y="0"/>
                      <a:ext cx="2611120" cy="1958975"/>
                    </a:xfrm>
                    <a:prstGeom prst="rect">
                      <a:avLst/>
                    </a:prstGeom>
                  </pic:spPr>
                </pic:pic>
              </a:graphicData>
            </a:graphic>
          </wp:inline>
        </w:drawing>
      </w:r>
    </w:p>
    <w:p>
      <w:pPr>
        <w:pStyle w:val="5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center"/>
        <w:textAlignment w:val="auto"/>
        <w:outlineLvl w:val="9"/>
        <w:rPr>
          <w:rFonts w:hint="default" w:ascii="Times New Roman" w:hAnsi="Times New Roman" w:eastAsia="宋体" w:cs="Times New Roman"/>
          <w:b/>
          <w:bCs/>
          <w:kern w:val="2"/>
          <w:sz w:val="30"/>
          <w:szCs w:val="30"/>
          <w:highlight w:val="none"/>
          <w:lang w:val="en-US" w:eastAsia="zh-CN" w:bidi="ar-SA"/>
        </w:rPr>
      </w:pPr>
      <w:r>
        <w:rPr>
          <w:rFonts w:hint="eastAsia" w:ascii="Times New Roman" w:hAnsi="Times New Roman" w:eastAsia="宋体" w:cs="Times New Roman"/>
          <w:color w:val="auto"/>
          <w:sz w:val="28"/>
          <w:szCs w:val="28"/>
          <w:highlight w:val="none"/>
          <w:lang w:val="en-US" w:eastAsia="zh-CN"/>
        </w:rPr>
        <w:t xml:space="preserve">图 </w:t>
      </w:r>
      <w:r>
        <w:rPr>
          <w:rFonts w:hint="default" w:ascii="Times New Roman" w:hAnsi="Times New Roman" w:eastAsia="宋体" w:cs="Times New Roman"/>
          <w:color w:val="auto"/>
          <w:sz w:val="28"/>
          <w:szCs w:val="28"/>
          <w:highlight w:val="none"/>
          <w:lang w:val="en-US" w:eastAsia="zh-CN"/>
        </w:rPr>
        <w:t>4-1-</w:t>
      </w:r>
      <w:r>
        <w:rPr>
          <w:rFonts w:hint="eastAsia" w:ascii="Times New Roman" w:hAnsi="Times New Roman" w:eastAsia="宋体"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宋体" w:cs="Times New Roman"/>
          <w:color w:val="auto"/>
          <w:sz w:val="28"/>
          <w:szCs w:val="28"/>
          <w:highlight w:val="none"/>
          <w:lang w:val="en-US" w:eastAsia="zh-CN"/>
        </w:rPr>
        <w:t xml:space="preserve">  固废间和</w:t>
      </w:r>
      <w:r>
        <w:rPr>
          <w:rFonts w:hint="eastAsia" w:ascii="Times New Roman" w:hAnsi="Times New Roman" w:eastAsia="宋体" w:cs="Times New Roman"/>
          <w:b w:val="0"/>
          <w:bCs w:val="0"/>
          <w:color w:val="auto"/>
          <w:sz w:val="28"/>
          <w:szCs w:val="28"/>
          <w:highlight w:val="none"/>
          <w:lang w:val="en-US" w:eastAsia="zh-CN"/>
        </w:rPr>
        <w:t>危废间现场照片</w:t>
      </w:r>
    </w:p>
    <w:p>
      <w:pPr>
        <w:pStyle w:val="5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both"/>
        <w:textAlignment w:val="auto"/>
        <w:outlineLvl w:val="9"/>
        <w:rPr>
          <w:rFonts w:hint="default" w:ascii="Times New Roman" w:hAnsi="Times New Roman" w:eastAsia="宋体" w:cs="Times New Roman"/>
          <w:b/>
          <w:bCs/>
          <w:kern w:val="2"/>
          <w:sz w:val="30"/>
          <w:szCs w:val="30"/>
          <w:highlight w:val="none"/>
          <w:lang w:val="en-US" w:eastAsia="zh-CN" w:bidi="ar-SA"/>
        </w:rPr>
      </w:pPr>
      <w:r>
        <w:rPr>
          <w:rFonts w:hint="default" w:ascii="Times New Roman" w:hAnsi="Times New Roman" w:eastAsia="宋体" w:cs="Times New Roman"/>
          <w:b/>
          <w:bCs/>
          <w:kern w:val="2"/>
          <w:sz w:val="30"/>
          <w:szCs w:val="30"/>
          <w:highlight w:val="none"/>
          <w:lang w:val="en-US" w:eastAsia="zh-CN" w:bidi="ar-SA"/>
        </w:rPr>
        <w:t>2.环保设施投资及“三同时”落实情况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本项目投资为</w:t>
      </w:r>
      <w:r>
        <w:rPr>
          <w:rFonts w:hint="eastAsia" w:ascii="Times New Roman" w:hAnsi="Times New Roman" w:eastAsia="宋体" w:cs="Times New Roman"/>
          <w:b w:val="0"/>
          <w:bCs w:val="0"/>
          <w:color w:val="auto"/>
          <w:sz w:val="28"/>
          <w:szCs w:val="28"/>
          <w:highlight w:val="none"/>
          <w:lang w:val="en-US" w:eastAsia="zh-CN"/>
        </w:rPr>
        <w:t>100</w:t>
      </w:r>
      <w:r>
        <w:rPr>
          <w:rFonts w:hint="default" w:ascii="Times New Roman" w:hAnsi="Times New Roman" w:eastAsia="宋体" w:cs="Times New Roman"/>
          <w:b w:val="0"/>
          <w:bCs w:val="0"/>
          <w:color w:val="auto"/>
          <w:sz w:val="28"/>
          <w:szCs w:val="28"/>
          <w:highlight w:val="none"/>
          <w:lang w:eastAsia="zh-CN"/>
        </w:rPr>
        <w:t>万元，</w:t>
      </w:r>
      <w:r>
        <w:rPr>
          <w:rFonts w:hint="default" w:ascii="Times New Roman" w:hAnsi="Times New Roman" w:eastAsia="宋体" w:cs="Times New Roman"/>
          <w:b w:val="0"/>
          <w:bCs w:val="0"/>
          <w:color w:val="auto"/>
          <w:sz w:val="28"/>
          <w:szCs w:val="28"/>
          <w:highlight w:val="none"/>
          <w:lang w:val="en-US" w:eastAsia="zh-CN"/>
        </w:rPr>
        <w:t>其中</w:t>
      </w:r>
      <w:r>
        <w:rPr>
          <w:rFonts w:hint="default" w:ascii="Times New Roman" w:hAnsi="Times New Roman" w:eastAsia="宋体" w:cs="Times New Roman"/>
          <w:b w:val="0"/>
          <w:bCs w:val="0"/>
          <w:color w:val="auto"/>
          <w:sz w:val="28"/>
          <w:szCs w:val="28"/>
          <w:highlight w:val="none"/>
          <w:lang w:eastAsia="zh-CN"/>
        </w:rPr>
        <w:t>环保投资总额为</w:t>
      </w:r>
      <w:r>
        <w:rPr>
          <w:rFonts w:hint="eastAsia" w:ascii="Times New Roman" w:hAnsi="Times New Roman" w:eastAsia="宋体" w:cs="Times New Roman"/>
          <w:b w:val="0"/>
          <w:bCs w:val="0"/>
          <w:color w:val="auto"/>
          <w:sz w:val="28"/>
          <w:szCs w:val="28"/>
          <w:highlight w:val="none"/>
          <w:lang w:val="en-US" w:eastAsia="zh-CN"/>
        </w:rPr>
        <w:t>9</w:t>
      </w:r>
      <w:r>
        <w:rPr>
          <w:rFonts w:hint="default" w:ascii="Times New Roman" w:hAnsi="Times New Roman" w:eastAsia="宋体" w:cs="Times New Roman"/>
          <w:b w:val="0"/>
          <w:bCs w:val="0"/>
          <w:color w:val="auto"/>
          <w:sz w:val="28"/>
          <w:szCs w:val="28"/>
          <w:highlight w:val="none"/>
          <w:lang w:val="en-US" w:eastAsia="zh-CN"/>
        </w:rPr>
        <w:t>万元，</w:t>
      </w:r>
      <w:r>
        <w:rPr>
          <w:rFonts w:hint="default" w:ascii="Times New Roman" w:hAnsi="Times New Roman" w:eastAsia="宋体" w:cs="Times New Roman"/>
          <w:b w:val="0"/>
          <w:bCs w:val="0"/>
          <w:color w:val="auto"/>
          <w:sz w:val="28"/>
          <w:szCs w:val="28"/>
          <w:highlight w:val="none"/>
        </w:rPr>
        <w:t>占总投资的</w:t>
      </w:r>
      <w:r>
        <w:rPr>
          <w:rFonts w:hint="eastAsia" w:ascii="Times New Roman" w:hAnsi="Times New Roman" w:eastAsia="宋体" w:cs="Times New Roman"/>
          <w:b w:val="0"/>
          <w:bCs w:val="0"/>
          <w:color w:val="auto"/>
          <w:sz w:val="28"/>
          <w:szCs w:val="28"/>
          <w:highlight w:val="none"/>
          <w:lang w:val="en-US" w:eastAsia="zh-CN"/>
        </w:rPr>
        <w:t>9</w:t>
      </w:r>
      <w:r>
        <w:rPr>
          <w:rFonts w:hint="default" w:ascii="Times New Roman" w:hAnsi="Times New Roman" w:eastAsia="宋体" w:cs="Times New Roman"/>
          <w:b w:val="0"/>
          <w:bCs w:val="0"/>
          <w:color w:val="auto"/>
          <w:sz w:val="28"/>
          <w:szCs w:val="28"/>
          <w:highlight w:val="none"/>
          <w:lang w:val="en-US" w:eastAsia="zh-CN"/>
        </w:rPr>
        <w:t>%</w:t>
      </w:r>
      <w:r>
        <w:rPr>
          <w:rFonts w:hint="default" w:ascii="Times New Roman" w:hAnsi="Times New Roman" w:eastAsia="宋体" w:cs="Times New Roman"/>
          <w:b w:val="0"/>
          <w:bCs w:val="0"/>
          <w:color w:val="auto"/>
          <w:sz w:val="28"/>
          <w:szCs w:val="28"/>
          <w:highlight w:val="none"/>
        </w:rPr>
        <w:t>。</w:t>
      </w:r>
      <w:r>
        <w:rPr>
          <w:rFonts w:hint="default" w:ascii="Times New Roman" w:hAnsi="Times New Roman" w:eastAsia="宋体" w:cs="Times New Roman"/>
          <w:color w:val="auto"/>
          <w:sz w:val="28"/>
          <w:szCs w:val="28"/>
          <w:highlight w:val="none"/>
        </w:rPr>
        <w:t>实际总投资</w:t>
      </w:r>
      <w:r>
        <w:rPr>
          <w:rFonts w:hint="eastAsia" w:ascii="Times New Roman" w:hAnsi="Times New Roman" w:eastAsia="宋体" w:cs="Times New Roman"/>
          <w:color w:val="auto"/>
          <w:sz w:val="28"/>
          <w:szCs w:val="28"/>
          <w:highlight w:val="none"/>
          <w:lang w:val="en-US" w:eastAsia="zh-CN"/>
        </w:rPr>
        <w:t>100</w:t>
      </w:r>
      <w:r>
        <w:rPr>
          <w:rFonts w:hint="default" w:ascii="Times New Roman" w:hAnsi="Times New Roman" w:eastAsia="宋体" w:cs="Times New Roman"/>
          <w:color w:val="auto"/>
          <w:sz w:val="28"/>
          <w:szCs w:val="28"/>
          <w:highlight w:val="none"/>
          <w:lang w:val="en-US" w:eastAsia="zh-CN"/>
        </w:rPr>
        <w:t>万元</w:t>
      </w:r>
      <w:r>
        <w:rPr>
          <w:rFonts w:hint="default" w:ascii="Times New Roman" w:hAnsi="Times New Roman" w:eastAsia="宋体" w:cs="Times New Roman"/>
          <w:color w:val="auto"/>
          <w:sz w:val="28"/>
          <w:szCs w:val="28"/>
          <w:highlight w:val="none"/>
        </w:rPr>
        <w:t>，其中环保投资</w:t>
      </w:r>
      <w:r>
        <w:rPr>
          <w:rFonts w:hint="eastAsia" w:ascii="Times New Roman" w:hAnsi="Times New Roman" w:eastAsia="宋体" w:cs="Times New Roman"/>
          <w:color w:val="auto"/>
          <w:sz w:val="28"/>
          <w:szCs w:val="28"/>
          <w:highlight w:val="none"/>
          <w:lang w:val="en-US" w:eastAsia="zh-CN"/>
        </w:rPr>
        <w:t>9</w:t>
      </w:r>
      <w:r>
        <w:rPr>
          <w:rFonts w:hint="default" w:ascii="Times New Roman" w:hAnsi="Times New Roman" w:eastAsia="宋体" w:cs="Times New Roman"/>
          <w:color w:val="auto"/>
          <w:sz w:val="28"/>
          <w:szCs w:val="28"/>
          <w:highlight w:val="none"/>
        </w:rPr>
        <w:t>万元，占实际总投资</w:t>
      </w:r>
      <w:r>
        <w:rPr>
          <w:rFonts w:hint="eastAsia" w:ascii="Times New Roman" w:hAnsi="Times New Roman" w:eastAsia="宋体" w:cs="Times New Roman"/>
          <w:color w:val="auto"/>
          <w:sz w:val="28"/>
          <w:szCs w:val="28"/>
          <w:highlight w:val="none"/>
          <w:lang w:val="en-US" w:eastAsia="zh-CN"/>
        </w:rPr>
        <w:t>9</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val="0"/>
          <w:color w:val="auto"/>
          <w:sz w:val="28"/>
          <w:szCs w:val="28"/>
          <w:highlight w:val="none"/>
        </w:rPr>
        <w:t>实际环境保护投资见下表</w:t>
      </w:r>
      <w:r>
        <w:rPr>
          <w:rFonts w:hint="default" w:ascii="Times New Roman" w:hAnsi="Times New Roman" w:eastAsia="宋体" w:cs="Times New Roman"/>
          <w:b w:val="0"/>
          <w:bCs w:val="0"/>
          <w:color w:val="auto"/>
          <w:sz w:val="28"/>
          <w:szCs w:val="28"/>
          <w:highlight w:val="none"/>
          <w:lang w:val="en-US" w:eastAsia="zh-CN"/>
        </w:rPr>
        <w:t>7</w:t>
      </w:r>
      <w:r>
        <w:rPr>
          <w:rFonts w:hint="default" w:ascii="Times New Roman" w:hAnsi="Times New Roman" w:eastAsia="宋体" w:cs="Times New Roman"/>
          <w:b w:val="0"/>
          <w:bCs w:val="0"/>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val="0"/>
          <w:color w:val="auto"/>
          <w:sz w:val="28"/>
          <w:szCs w:val="28"/>
          <w:highlight w:val="none"/>
          <w:lang w:val="en-US" w:eastAsia="zh-CN"/>
        </w:rPr>
        <w:t>7</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工程污染防治措施汇总</w:t>
      </w:r>
      <w:r>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实际环保投资情况说明</w:t>
      </w:r>
    </w:p>
    <w:tbl>
      <w:tblPr>
        <w:tblStyle w:val="30"/>
        <w:tblW w:w="474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503"/>
        <w:gridCol w:w="771"/>
        <w:gridCol w:w="1484"/>
        <w:gridCol w:w="3618"/>
        <w:gridCol w:w="1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0" w:type="pct"/>
            <w:gridSpan w:val="3"/>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类别</w:t>
            </w:r>
          </w:p>
        </w:tc>
        <w:tc>
          <w:tcPr>
            <w:tcW w:w="917"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污染源</w:t>
            </w:r>
          </w:p>
        </w:tc>
        <w:tc>
          <w:tcPr>
            <w:tcW w:w="2238"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治理措施</w:t>
            </w:r>
          </w:p>
        </w:tc>
        <w:tc>
          <w:tcPr>
            <w:tcW w:w="723"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332" w:type="pct"/>
            <w:vMerge w:val="restar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营运期</w:t>
            </w:r>
          </w:p>
        </w:tc>
        <w:tc>
          <w:tcPr>
            <w:tcW w:w="788" w:type="pct"/>
            <w:gridSpan w:val="2"/>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废气</w:t>
            </w:r>
          </w:p>
        </w:tc>
        <w:tc>
          <w:tcPr>
            <w:tcW w:w="917"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打磨、</w:t>
            </w:r>
            <w:r>
              <w:rPr>
                <w:rFonts w:hint="default" w:ascii="Times New Roman" w:hAnsi="Times New Roman" w:eastAsia="宋体" w:cs="Times New Roman"/>
                <w:sz w:val="24"/>
                <w:szCs w:val="24"/>
                <w:highlight w:val="none"/>
                <w:lang w:val="en-US" w:eastAsia="zh-CN"/>
              </w:rPr>
              <w:t>切割</w:t>
            </w:r>
            <w:r>
              <w:rPr>
                <w:rFonts w:hint="eastAsia" w:ascii="Times New Roman" w:hAnsi="Times New Roman" w:eastAsia="宋体" w:cs="Times New Roman"/>
                <w:sz w:val="24"/>
                <w:szCs w:val="24"/>
                <w:highlight w:val="none"/>
                <w:lang w:val="en-US" w:eastAsia="zh-CN"/>
              </w:rPr>
              <w:t>及</w:t>
            </w:r>
            <w:r>
              <w:rPr>
                <w:rFonts w:hint="default" w:ascii="Times New Roman" w:hAnsi="Times New Roman" w:eastAsia="宋体" w:cs="Times New Roman"/>
                <w:sz w:val="24"/>
                <w:szCs w:val="24"/>
                <w:highlight w:val="none"/>
              </w:rPr>
              <w:t>焊接</w:t>
            </w:r>
            <w:r>
              <w:rPr>
                <w:rFonts w:hint="default" w:ascii="Times New Roman" w:hAnsi="Times New Roman" w:eastAsia="宋体" w:cs="Times New Roman"/>
                <w:sz w:val="24"/>
                <w:szCs w:val="24"/>
                <w:highlight w:val="none"/>
                <w:lang w:val="en-US" w:eastAsia="zh-CN"/>
              </w:rPr>
              <w:t>粉尘</w:t>
            </w:r>
          </w:p>
        </w:tc>
        <w:tc>
          <w:tcPr>
            <w:tcW w:w="2238"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集气罩+袋式除尘器+15m高排气筒</w:t>
            </w:r>
          </w:p>
        </w:tc>
        <w:tc>
          <w:tcPr>
            <w:tcW w:w="723"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2"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rPr>
            </w:pPr>
          </w:p>
        </w:tc>
        <w:tc>
          <w:tcPr>
            <w:tcW w:w="788" w:type="pct"/>
            <w:gridSpan w:val="2"/>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rPr>
            </w:pPr>
            <w:r>
              <w:rPr>
                <w:rFonts w:hint="default" w:ascii="Times New Roman" w:hAnsi="Times New Roman" w:eastAsia="宋体" w:cs="Times New Roman"/>
                <w:kern w:val="0"/>
                <w:sz w:val="24"/>
                <w:szCs w:val="24"/>
                <w:highlight w:val="none"/>
              </w:rPr>
              <w:t>噪声</w:t>
            </w:r>
          </w:p>
        </w:tc>
        <w:tc>
          <w:tcPr>
            <w:tcW w:w="917"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高噪声设备</w:t>
            </w:r>
          </w:p>
        </w:tc>
        <w:tc>
          <w:tcPr>
            <w:tcW w:w="2238"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减振基础</w:t>
            </w:r>
          </w:p>
        </w:tc>
        <w:tc>
          <w:tcPr>
            <w:tcW w:w="723"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2"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311" w:type="pct"/>
            <w:vMerge w:val="restart"/>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r>
              <w:rPr>
                <w:rFonts w:hint="default" w:ascii="Times New Roman" w:hAnsi="Times New Roman" w:eastAsia="宋体" w:cs="Times New Roman"/>
                <w:kern w:val="0"/>
                <w:sz w:val="24"/>
                <w:szCs w:val="24"/>
                <w:highlight w:val="none"/>
                <w:lang w:eastAsia="zh-CN"/>
              </w:rPr>
              <w:t>固废</w:t>
            </w:r>
          </w:p>
        </w:tc>
        <w:tc>
          <w:tcPr>
            <w:tcW w:w="477" w:type="pct"/>
            <w:vMerge w:val="restart"/>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一般固废</w:t>
            </w:r>
          </w:p>
        </w:tc>
        <w:tc>
          <w:tcPr>
            <w:tcW w:w="917"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边角料</w:t>
            </w:r>
          </w:p>
        </w:tc>
        <w:tc>
          <w:tcPr>
            <w:tcW w:w="2238" w:type="pct"/>
            <w:vMerge w:val="restar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依托原有</w:t>
            </w:r>
            <w:r>
              <w:rPr>
                <w:rFonts w:hint="default" w:ascii="Times New Roman" w:hAnsi="Times New Roman" w:eastAsia="宋体" w:cs="Times New Roman"/>
                <w:sz w:val="24"/>
                <w:szCs w:val="24"/>
                <w:highlight w:val="none"/>
              </w:rPr>
              <w:t>生产固废收集间及收集装置，收集后统一外售</w:t>
            </w:r>
          </w:p>
        </w:tc>
        <w:tc>
          <w:tcPr>
            <w:tcW w:w="723" w:type="pct"/>
            <w:vMerge w:val="restar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32"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311"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477"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917"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废弃焊条</w:t>
            </w:r>
          </w:p>
        </w:tc>
        <w:tc>
          <w:tcPr>
            <w:tcW w:w="2238" w:type="pct"/>
            <w:vMerge w:val="continue"/>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p>
        </w:tc>
        <w:tc>
          <w:tcPr>
            <w:tcW w:w="723" w:type="pct"/>
            <w:vMerge w:val="continue"/>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32"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311"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477"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917"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袋式除尘器收集的粉尘</w:t>
            </w:r>
          </w:p>
        </w:tc>
        <w:tc>
          <w:tcPr>
            <w:tcW w:w="2238" w:type="pct"/>
            <w:vMerge w:val="continue"/>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p>
        </w:tc>
        <w:tc>
          <w:tcPr>
            <w:tcW w:w="723" w:type="pct"/>
            <w:vMerge w:val="continue"/>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32"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311"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477" w:type="pct"/>
            <w:vMerge w:val="restart"/>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危险废物</w:t>
            </w:r>
          </w:p>
        </w:tc>
        <w:tc>
          <w:tcPr>
            <w:tcW w:w="917"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eastAsia="zh-CN"/>
              </w:rPr>
              <w:t>含油废抹布</w:t>
            </w:r>
          </w:p>
        </w:tc>
        <w:tc>
          <w:tcPr>
            <w:tcW w:w="2238"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依托原有危废暂存间</w:t>
            </w:r>
            <w:r>
              <w:rPr>
                <w:rFonts w:hint="eastAsia" w:ascii="Times New Roman" w:hAnsi="Times New Roman" w:eastAsia="宋体" w:cs="Times New Roman"/>
                <w:sz w:val="24"/>
                <w:szCs w:val="24"/>
                <w:highlight w:val="none"/>
                <w:lang w:val="en-US" w:eastAsia="zh-CN"/>
              </w:rPr>
              <w:t>，混入生活垃圾中运往垃圾中转站</w:t>
            </w:r>
          </w:p>
        </w:tc>
        <w:tc>
          <w:tcPr>
            <w:tcW w:w="723"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32"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311"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eastAsia="zh-CN"/>
              </w:rPr>
            </w:pPr>
          </w:p>
        </w:tc>
        <w:tc>
          <w:tcPr>
            <w:tcW w:w="477" w:type="pct"/>
            <w:vMerge w:val="continue"/>
            <w:noWrap w:val="0"/>
            <w:vAlign w:val="center"/>
          </w:tcPr>
          <w:p>
            <w:pPr>
              <w:adjustRightInd w:val="0"/>
              <w:snapToGrid w:val="0"/>
              <w:spacing w:line="240" w:lineRule="auto"/>
              <w:jc w:val="center"/>
              <w:rPr>
                <w:rFonts w:hint="default" w:ascii="Times New Roman" w:hAnsi="Times New Roman" w:eastAsia="宋体" w:cs="Times New Roman"/>
                <w:kern w:val="0"/>
                <w:sz w:val="24"/>
                <w:szCs w:val="24"/>
                <w:highlight w:val="none"/>
                <w:lang w:val="en-US" w:eastAsia="zh-CN"/>
              </w:rPr>
            </w:pPr>
          </w:p>
        </w:tc>
        <w:tc>
          <w:tcPr>
            <w:tcW w:w="917"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废润滑油</w:t>
            </w:r>
          </w:p>
        </w:tc>
        <w:tc>
          <w:tcPr>
            <w:tcW w:w="2238"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依托原有危废暂存间</w:t>
            </w:r>
          </w:p>
        </w:tc>
        <w:tc>
          <w:tcPr>
            <w:tcW w:w="723"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38" w:type="pct"/>
            <w:gridSpan w:val="4"/>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其他</w:t>
            </w:r>
          </w:p>
        </w:tc>
        <w:tc>
          <w:tcPr>
            <w:tcW w:w="2238"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用电量监控系统</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视频监控装备</w:t>
            </w:r>
          </w:p>
        </w:tc>
        <w:tc>
          <w:tcPr>
            <w:tcW w:w="723" w:type="pct"/>
            <w:noWrap w:val="0"/>
            <w:vAlign w:val="center"/>
          </w:tcPr>
          <w:p>
            <w:pPr>
              <w:adjustRightInd w:val="0"/>
              <w:snapToGrid w:val="0"/>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6" w:type="pct"/>
            <w:gridSpan w:val="5"/>
            <w:vAlign w:val="center"/>
          </w:tcPr>
          <w:p>
            <w:pPr>
              <w:adjustRightInd w:val="0"/>
              <w:snapToGrid w:val="0"/>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合      计</w:t>
            </w:r>
          </w:p>
        </w:tc>
        <w:tc>
          <w:tcPr>
            <w:tcW w:w="723" w:type="pct"/>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w:t>
            </w:r>
          </w:p>
        </w:tc>
      </w:tr>
    </w:tbl>
    <w:p>
      <w:pPr>
        <w:pStyle w:val="57"/>
        <w:keepNext w:val="0"/>
        <w:keepLines w:val="0"/>
        <w:pageBreakBefore w:val="0"/>
        <w:widowControl w:val="0"/>
        <w:kinsoku/>
        <w:wordWrap/>
        <w:overflowPunct/>
        <w:topLinePunct w:val="0"/>
        <w:autoSpaceDE/>
        <w:autoSpaceDN/>
        <w:bidi w:val="0"/>
        <w:adjustRightInd w:val="0"/>
        <w:snapToGrid w:val="0"/>
        <w:spacing w:line="360" w:lineRule="auto"/>
        <w:ind w:left="0" w:leftChars="0" w:firstLine="632" w:firstLineChars="200"/>
        <w:jc w:val="both"/>
        <w:textAlignment w:val="auto"/>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val="0"/>
          <w:sz w:val="28"/>
          <w:szCs w:val="28"/>
          <w:highlight w:val="none"/>
        </w:rPr>
        <w:t>本项目环评及批复阶段要求建设内容“三同时”情况落实见表</w:t>
      </w:r>
      <w:r>
        <w:rPr>
          <w:rFonts w:hint="default" w:ascii="Times New Roman" w:hAnsi="Times New Roman" w:eastAsia="宋体" w:cs="Times New Roman"/>
          <w:b w:val="0"/>
          <w:bCs w:val="0"/>
          <w:sz w:val="28"/>
          <w:szCs w:val="28"/>
          <w:highlight w:val="none"/>
          <w:lang w:val="en-US" w:eastAsia="zh-CN"/>
        </w:rPr>
        <w:t>8</w:t>
      </w:r>
      <w:r>
        <w:rPr>
          <w:rFonts w:hint="default" w:ascii="Times New Roman" w:hAnsi="Times New Roman" w:eastAsia="宋体" w:cs="Times New Roman"/>
          <w:b w:val="0"/>
          <w:bCs w:val="0"/>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560" w:firstLineChars="200"/>
        <w:jc w:val="center"/>
        <w:textAlignment w:val="auto"/>
        <w:outlineLvl w:val="9"/>
        <w:rPr>
          <w:rFonts w:hint="default" w:ascii="Times New Roman" w:hAnsi="Times New Roman" w:eastAsia="宋体" w:cs="Times New Roman"/>
          <w:b w:val="0"/>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 xml:space="preserve">        环境保护“三同时”落实情况</w:t>
      </w:r>
    </w:p>
    <w:tbl>
      <w:tblPr>
        <w:tblStyle w:val="30"/>
        <w:tblW w:w="8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05"/>
        <w:gridCol w:w="1412"/>
        <w:gridCol w:w="2285"/>
        <w:gridCol w:w="2280"/>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80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污染物</w:t>
            </w:r>
          </w:p>
        </w:tc>
        <w:tc>
          <w:tcPr>
            <w:tcW w:w="14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治理内容</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环评及批复要求建设的环保设施</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实际建设时环保设施情况</w:t>
            </w:r>
          </w:p>
        </w:tc>
        <w:tc>
          <w:tcPr>
            <w:tcW w:w="991"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c>
          <w:tcPr>
            <w:tcW w:w="80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废气</w:t>
            </w:r>
          </w:p>
        </w:tc>
        <w:tc>
          <w:tcPr>
            <w:tcW w:w="14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打磨、切割及焊接烟尘</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袋式除尘器+15m高排气筒</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袋式除尘器+15m高排气筒</w:t>
            </w:r>
          </w:p>
        </w:tc>
        <w:tc>
          <w:tcPr>
            <w:tcW w:w="991"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80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14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机械运行噪声</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减震基础，车间隔声</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减震基础，车间隔声</w:t>
            </w:r>
          </w:p>
        </w:tc>
        <w:tc>
          <w:tcPr>
            <w:tcW w:w="991"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0"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805"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w:t>
            </w:r>
          </w:p>
        </w:tc>
        <w:tc>
          <w:tcPr>
            <w:tcW w:w="14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边角料</w:t>
            </w:r>
          </w:p>
        </w:tc>
        <w:tc>
          <w:tcPr>
            <w:tcW w:w="2285"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依托原有一般固废间</w:t>
            </w:r>
          </w:p>
        </w:tc>
        <w:tc>
          <w:tcPr>
            <w:tcW w:w="2280" w:type="dxa"/>
            <w:vMerge w:val="restart"/>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依托原有一般固废间</w:t>
            </w:r>
          </w:p>
        </w:tc>
        <w:tc>
          <w:tcPr>
            <w:tcW w:w="991" w:type="dxa"/>
            <w:vMerge w:val="restart"/>
            <w:vAlign w:val="center"/>
          </w:tcPr>
          <w:p>
            <w:pPr>
              <w:jc w:val="center"/>
              <w:rPr>
                <w:rFonts w:hint="default"/>
                <w:lang w:val="en-US" w:eastAsia="zh-CN"/>
              </w:rPr>
            </w:pPr>
            <w:r>
              <w:rPr>
                <w:rFonts w:hint="eastAsia" w:ascii="宋体" w:hAnsi="宋体" w:eastAsia="宋体" w:cs="宋体"/>
                <w:sz w:val="24"/>
                <w:szCs w:val="28"/>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0"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805"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4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废弃焊条</w:t>
            </w:r>
          </w:p>
        </w:tc>
        <w:tc>
          <w:tcPr>
            <w:tcW w:w="2285"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2280"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99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0"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805"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4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袋式除尘器收集的粉尘</w:t>
            </w:r>
          </w:p>
        </w:tc>
        <w:tc>
          <w:tcPr>
            <w:tcW w:w="2285"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2280"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991"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0"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805"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4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含油废抹布</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生活垃圾收集桶若干，运至垃圾中转站集中处理</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依托原有危废间</w:t>
            </w:r>
            <w:r>
              <w:rPr>
                <w:rFonts w:hint="eastAsia" w:ascii="Times New Roman" w:hAnsi="Times New Roman" w:eastAsia="宋体" w:cs="Times New Roman"/>
                <w:color w:val="auto"/>
                <w:kern w:val="2"/>
                <w:sz w:val="24"/>
                <w:szCs w:val="24"/>
                <w:highlight w:val="none"/>
                <w:lang w:val="en-US" w:eastAsia="zh-CN" w:bidi="ar-SA"/>
              </w:rPr>
              <w:t>暂存后</w:t>
            </w:r>
            <w:r>
              <w:rPr>
                <w:rFonts w:hint="default" w:ascii="Times New Roman" w:hAnsi="Times New Roman" w:eastAsia="宋体" w:cs="Times New Roman"/>
                <w:color w:val="auto"/>
                <w:kern w:val="2"/>
                <w:sz w:val="24"/>
                <w:szCs w:val="24"/>
                <w:highlight w:val="none"/>
                <w:lang w:val="en-US" w:eastAsia="zh-CN" w:bidi="ar-SA"/>
              </w:rPr>
              <w:t>，运至垃圾中转站集中处理</w:t>
            </w:r>
          </w:p>
        </w:tc>
        <w:tc>
          <w:tcPr>
            <w:tcW w:w="991"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优于环评要求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0"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805" w:type="dxa"/>
            <w:vMerge w:val="continue"/>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4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废润滑油</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依托原有危废暂存间</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依托原有危废暂存间</w:t>
            </w:r>
          </w:p>
        </w:tc>
        <w:tc>
          <w:tcPr>
            <w:tcW w:w="991"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80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公用</w:t>
            </w:r>
          </w:p>
        </w:tc>
        <w:tc>
          <w:tcPr>
            <w:tcW w:w="1412"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用电监控</w:t>
            </w:r>
          </w:p>
        </w:tc>
        <w:tc>
          <w:tcPr>
            <w:tcW w:w="2285"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在厂区总电源控制室、生产设施供电装置、污染治理设施供电装置处安装满足监控需要数量的用电监控系统终端，对污染物监测采样处和危废间提出视频监控装置安装要求。</w:t>
            </w:r>
          </w:p>
        </w:tc>
        <w:tc>
          <w:tcPr>
            <w:tcW w:w="2280"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在厂区总电源控制室、生产设施供电装置、污染治理设施供电装置处安装满足监控需要数量的用电监控系统终端，对污染物监测采样处和危废间提出视频监控装置安装要求。</w:t>
            </w:r>
          </w:p>
        </w:tc>
        <w:tc>
          <w:tcPr>
            <w:tcW w:w="991" w:type="dxa"/>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sz w:val="36"/>
          <w:szCs w:val="36"/>
          <w:highlight w:val="none"/>
          <w:lang w:val="en-US" w:eastAsia="zh-CN"/>
        </w:rPr>
      </w:pPr>
      <w:bookmarkStart w:id="29" w:name="_Toc497001466"/>
      <w:r>
        <w:rPr>
          <w:rFonts w:hint="default" w:ascii="Times New Roman" w:hAnsi="Times New Roman" w:eastAsia="宋体" w:cs="Times New Roman"/>
          <w:b/>
          <w:bCs/>
          <w:color w:val="auto"/>
          <w:sz w:val="36"/>
          <w:szCs w:val="36"/>
          <w:highlight w:val="none"/>
          <w:lang w:val="en-US" w:eastAsia="zh-CN"/>
        </w:rPr>
        <w:t>五、建设项目环评报告表的主要结论与建议及审批部门审批决定</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kern w:val="2"/>
          <w:sz w:val="30"/>
          <w:szCs w:val="30"/>
          <w:highlight w:val="none"/>
          <w:lang w:val="en-US" w:eastAsia="zh-CN" w:bidi="ar-SA"/>
        </w:rPr>
      </w:pPr>
      <w:r>
        <w:rPr>
          <w:rFonts w:hint="default" w:ascii="Times New Roman" w:hAnsi="Times New Roman" w:eastAsia="宋体" w:cs="Times New Roman"/>
          <w:b/>
          <w:bCs/>
          <w:color w:val="auto"/>
          <w:kern w:val="2"/>
          <w:sz w:val="30"/>
          <w:szCs w:val="30"/>
          <w:highlight w:val="none"/>
          <w:lang w:val="en-US" w:eastAsia="zh-CN" w:bidi="ar-SA"/>
        </w:rPr>
        <w:t>1</w:t>
      </w:r>
      <w:bookmarkEnd w:id="29"/>
      <w:r>
        <w:rPr>
          <w:rFonts w:hint="default" w:ascii="Times New Roman" w:hAnsi="Times New Roman" w:eastAsia="宋体" w:cs="Times New Roman"/>
          <w:b/>
          <w:bCs/>
          <w:color w:val="auto"/>
          <w:kern w:val="2"/>
          <w:sz w:val="30"/>
          <w:szCs w:val="30"/>
          <w:highlight w:val="none"/>
          <w:lang w:val="en-US" w:eastAsia="zh-CN" w:bidi="ar-SA"/>
        </w:rPr>
        <w:t>.建设项目环评报告表的主要结论与建议</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eastAsia="zh-CN"/>
        </w:rPr>
      </w:pPr>
      <w:bookmarkStart w:id="30" w:name="_Toc497001469"/>
      <w:r>
        <w:rPr>
          <w:rFonts w:hint="default" w:ascii="Times New Roman" w:hAnsi="Times New Roman" w:eastAsia="宋体" w:cs="Times New Roman"/>
          <w:b w:val="0"/>
          <w:bCs w:val="0"/>
          <w:color w:val="auto"/>
          <w:sz w:val="28"/>
          <w:szCs w:val="28"/>
          <w:highlight w:val="none"/>
          <w:lang w:val="en-US" w:eastAsia="zh-CN"/>
        </w:rPr>
        <w:t>1.1 结论</w:t>
      </w:r>
    </w:p>
    <w:p>
      <w:pPr>
        <w:keepNext w:val="0"/>
        <w:keepLines w:val="0"/>
        <w:pageBreakBefore w:val="0"/>
        <w:widowControl w:val="0"/>
        <w:kinsoku/>
        <w:wordWrap/>
        <w:overflowPunct/>
        <w:topLinePunct w:val="0"/>
        <w:bidi w:val="0"/>
        <w:adjustRightInd w:val="0"/>
        <w:snapToGrid w:val="0"/>
        <w:spacing w:line="360" w:lineRule="auto"/>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（1）废气对环境的影响分析可行性结论</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运营期产生的大气污染物主要为打磨、切割及焊接过程产生的粉尘，主要成分为颗粒物。废气引至袋式除尘器处理，最终经15m高排气筒排放。未被集气罩收集的废气，以无组织形式达标排放。为进一步降低本项目无组织废气可能对环境的影响，评价建议采取如下措施：本项目所有原料位于原料库内，厂区内无露天堆放；车间和料库完全密闭，并安装卷帘门，无车辆出入时将门关闭；物料位于封闭车间内，车间全密闭，卸料过程在密闭车间内；对厂区道路硬化，定期洒水降尘，保证地面无积尘，无法进行硬化的区域，进行绿化，厂区无裸露空地。</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项目建成后颗粒物预测浓度满足新乡市生态环境局《关于进一步规范工业企业颗粒物排放限值的通知》及《大气污染物综合排放标准》（GB16297-1996）表2二级15m排气筒允许最高排放浓度10mg/m</w:t>
      </w:r>
      <w:r>
        <w:rPr>
          <w:rFonts w:hint="default" w:ascii="Times New Roman" w:hAnsi="Times New Roman" w:eastAsia="宋体" w:cs="Times New Roman"/>
          <w:b w:val="0"/>
          <w:bCs w:val="0"/>
          <w:color w:val="000000" w:themeColor="text1"/>
          <w:kern w:val="2"/>
          <w:sz w:val="28"/>
          <w:szCs w:val="2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，排放速率3.5kg/h要求和厂界无组织排放浓度限值0.5mg/m</w:t>
      </w:r>
      <w:r>
        <w:rPr>
          <w:rFonts w:hint="default" w:ascii="Times New Roman" w:hAnsi="Times New Roman" w:eastAsia="宋体" w:cs="Times New Roman"/>
          <w:b w:val="0"/>
          <w:bCs w:val="0"/>
          <w:color w:val="000000" w:themeColor="text1"/>
          <w:kern w:val="2"/>
          <w:sz w:val="28"/>
          <w:szCs w:val="28"/>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要求，对周围大气环境影响较小。</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因此，评价认为：经采取上述措施后，本项目营运期各部分废气均能达标排放，废气对周围环境影响较小。</w:t>
      </w:r>
    </w:p>
    <w:p>
      <w:pPr>
        <w:keepNext w:val="0"/>
        <w:keepLines w:val="0"/>
        <w:pageBreakBefore w:val="0"/>
        <w:widowControl w:val="0"/>
        <w:kinsoku/>
        <w:wordWrap/>
        <w:overflowPunct/>
        <w:topLinePunct w:val="0"/>
        <w:bidi w:val="0"/>
        <w:adjustRightInd w:val="0"/>
        <w:snapToGrid w:val="0"/>
        <w:spacing w:line="360" w:lineRule="auto"/>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（2）废水对环境的影响分析可行性结论</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本项目不产生生产废水，不新增员工，无生活污水产生，所以本项目对环境及地下水影响较小。</w:t>
      </w:r>
    </w:p>
    <w:p>
      <w:pPr>
        <w:keepNext w:val="0"/>
        <w:keepLines w:val="0"/>
        <w:pageBreakBefore w:val="0"/>
        <w:widowControl w:val="0"/>
        <w:kinsoku/>
        <w:wordWrap/>
        <w:overflowPunct/>
        <w:topLinePunct w:val="0"/>
        <w:bidi w:val="0"/>
        <w:adjustRightInd w:val="0"/>
        <w:snapToGrid w:val="0"/>
        <w:spacing w:line="360" w:lineRule="auto"/>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（3）噪声对环境的影响分析可行性结论</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本项目噪声主要来自于设备运行，采取设备安装减震基础、厂房隔声等措施后，项目各厂界噪声均能够满足《工业企业厂界环境噪声排放标准》（GB12348-2008）2类标准要求，对周围的声环境影响较小。</w:t>
      </w:r>
    </w:p>
    <w:p>
      <w:pPr>
        <w:keepNext w:val="0"/>
        <w:keepLines w:val="0"/>
        <w:pageBreakBefore w:val="0"/>
        <w:widowControl w:val="0"/>
        <w:kinsoku/>
        <w:wordWrap/>
        <w:overflowPunct/>
        <w:topLinePunct w:val="0"/>
        <w:bidi w:val="0"/>
        <w:adjustRightInd w:val="0"/>
        <w:snapToGrid w:val="0"/>
        <w:spacing w:line="360" w:lineRule="auto"/>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（4）固废对环境的影响分析可行性结论</w:t>
      </w:r>
    </w:p>
    <w:p>
      <w:pPr>
        <w:numPr>
          <w:ilvl w:val="0"/>
          <w:numId w:val="0"/>
        </w:numPr>
        <w:adjustRightInd w:val="0"/>
        <w:snapToGrid w:val="0"/>
        <w:spacing w:line="360" w:lineRule="auto"/>
        <w:ind w:firstLine="560" w:firstLineChars="200"/>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项目运营期产生的固体废物有一般固体废弃物及危险废弃物。一般固体废弃物为边角料、焊丝及袋式除尘器收集粉尘集中收集后统一外售；危险废弃物为设备运行、维修时所产生的废润滑油（代码：900-249-08）和含油废</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抹布</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（代码：900-041-49），根据危险废物豁免管理清单，含油废</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抹布</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可混入生活垃圾中集中收集后，定期运送至垃圾转运站，交唐庄垃圾处理场填埋处理；废润滑油暂存在危险废物暂存间，与有资质的单位签订危废协议，定期回收，满足《危险废物贮存污染控制标准》（GB18597-2001）的要求。对周围环境影响不大。</w:t>
      </w:r>
    </w:p>
    <w:p>
      <w:pPr>
        <w:keepNext w:val="0"/>
        <w:keepLines w:val="0"/>
        <w:pageBreakBefore w:val="0"/>
        <w:widowControl w:val="0"/>
        <w:kinsoku/>
        <w:wordWrap/>
        <w:overflowPunct/>
        <w:topLinePunct w:val="0"/>
        <w:bidi w:val="0"/>
        <w:adjustRightInd w:val="0"/>
        <w:snapToGrid w:val="0"/>
        <w:spacing w:line="360" w:lineRule="auto"/>
        <w:jc w:val="both"/>
        <w:textAlignment w:val="auto"/>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（5）项目总量控制指标</w:t>
      </w:r>
    </w:p>
    <w:p>
      <w:pPr>
        <w:numPr>
          <w:ilvl w:val="0"/>
          <w:numId w:val="0"/>
        </w:numPr>
        <w:adjustRightInd w:val="0"/>
        <w:snapToGrid w:val="0"/>
        <w:spacing w:line="360" w:lineRule="auto"/>
        <w:ind w:firstLine="560" w:firstLineChars="200"/>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本项目生产过程中，无SO</w:t>
      </w:r>
      <w:r>
        <w:rPr>
          <w:rFonts w:hint="default" w:ascii="Times New Roman" w:hAnsi="Times New Roman" w:eastAsia="宋体" w:cs="Times New Roman"/>
          <w:b w:val="0"/>
          <w:bCs w:val="0"/>
          <w:color w:val="000000" w:themeColor="text1"/>
          <w:kern w:val="2"/>
          <w:sz w:val="28"/>
          <w:szCs w:val="28"/>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、NO</w:t>
      </w:r>
      <w:r>
        <w:rPr>
          <w:rFonts w:hint="default" w:ascii="Times New Roman" w:hAnsi="Times New Roman" w:eastAsia="宋体" w:cs="Times New Roman"/>
          <w:b w:val="0"/>
          <w:bCs w:val="0"/>
          <w:color w:val="000000" w:themeColor="text1"/>
          <w:kern w:val="2"/>
          <w:sz w:val="28"/>
          <w:szCs w:val="28"/>
          <w:highlight w:val="none"/>
          <w:vertAlign w:val="subscript"/>
          <w:lang w:val="en-US" w:eastAsia="zh-CN" w:bidi="ar-SA"/>
          <w14:textFill>
            <w14:solidFill>
              <w14:schemeClr w14:val="tx1"/>
            </w14:solidFill>
          </w14:textFill>
        </w:rPr>
        <w:t>x</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产生，废气主要为生产过程中产生的颗粒物，颗粒物有组织排放量为0.0454t/a，该项目重点污染物新增排放量需要进行双倍替代，项目所需替代量为颗粒物0.0908t，拟从春江水泥有限公司水泥行业超低排放治理项目减排量（颗粒物28.61t）中扣除。本项目无生产废水，不新增生活污水，对地表水环境影响较小。</w:t>
      </w:r>
    </w:p>
    <w:p>
      <w:pPr>
        <w:keepNext w:val="0"/>
        <w:keepLines w:val="0"/>
        <w:pageBreakBefore w:val="0"/>
        <w:widowControl w:val="0"/>
        <w:kinsoku/>
        <w:wordWrap/>
        <w:overflowPunct/>
        <w:topLinePunct w:val="0"/>
        <w:bidi w:val="0"/>
        <w:adjustRightInd w:val="0"/>
        <w:snapToGrid w:val="0"/>
        <w:spacing w:line="360" w:lineRule="auto"/>
        <w:jc w:val="both"/>
        <w:textAlignment w:val="auto"/>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（6）环保投资</w:t>
      </w:r>
    </w:p>
    <w:p>
      <w:pPr>
        <w:numPr>
          <w:ilvl w:val="0"/>
          <w:numId w:val="0"/>
        </w:numPr>
        <w:adjustRightInd w:val="0"/>
        <w:snapToGrid w:val="0"/>
        <w:spacing w:line="360" w:lineRule="auto"/>
        <w:ind w:firstLine="560" w:firstLineChars="200"/>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项目总投资</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100</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万元，环保投资总额为</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9</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万元，占总投资的</w:t>
      </w: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9%</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w:t>
      </w:r>
    </w:p>
    <w:p>
      <w:pPr>
        <w:pStyle w:val="3"/>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1.2建议</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（1）建设单位应认真贯彻执行有关建设项目环境保护管理文件的精神，建立健全的各项环境保护规章制度，严格实行“三同时”政策，即污染治理设施要同主项目同时设计、同时建设、同时投产；</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（2）在项目周围设置明显的限速和禁鸣标志，汽车进出时，应尽量减速、禁鸣，同时应加强出入车辆的管理，以减少车辆产生的噪声和尾气对环境的影响；</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（3）对固废进行分类收集，有回收利用价值的全部回收利用，无利用价值的集中存放，委托环卫部门统一清运，做到日产日清；</w:t>
      </w:r>
    </w:p>
    <w:p>
      <w:pPr>
        <w:keepNext w:val="0"/>
        <w:keepLines w:val="0"/>
        <w:pageBreakBefore w:val="0"/>
        <w:widowControl w:val="0"/>
        <w:kinsoku/>
        <w:wordWrap/>
        <w:overflowPunct/>
        <w:topLinePunct w:val="0"/>
        <w:bidi w:val="0"/>
        <w:adjustRightInd w:val="0"/>
        <w:snapToGrid w:val="0"/>
        <w:spacing w:line="360" w:lineRule="auto"/>
        <w:ind w:firstLine="560" w:firstLineChars="200"/>
        <w:jc w:val="both"/>
        <w:outlineLvl w:val="9"/>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（4）加强厂区及项目所在地周围的绿化，树种选择高大的常绿乔木与常绿的灌木相结合，多选择耐粉尘污染的树种。</w:t>
      </w:r>
    </w:p>
    <w:p>
      <w:pPr>
        <w:pStyle w:val="3"/>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1.3 总结论</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为新乡市永华机械有限公司“年产50台套矿山机械设备项目”，位于卫辉市唐庄镇盆爻村，选址符合卫辉市唐庄镇土地利用整体规划。项目符合国家产业政策。项目产生的污染物经采用合理的环保措施治理后，均可做到妥善安置，对周围环境影响小，可以实现其经济效益、社会效益和环境效益的协调发展。因此，从环保角度分析，项目建设可行。</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bCs w:val="0"/>
          <w:color w:val="000000" w:themeColor="text1"/>
          <w:sz w:val="30"/>
          <w:szCs w:val="30"/>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2.审批部门审批意见</w:t>
      </w:r>
      <w:bookmarkEnd w:id="30"/>
      <w:bookmarkStart w:id="31" w:name="_Toc497001472"/>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新乡市永华机械有限公司：</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你公司（统一社会信用代码：91410781326777610 A 关于《新乡市永华机械有限公司年产50台套矿山机械设备项目环境影响报告表》的告知承诺制审批的申请收悉。该项目审批事项在我局网站公示期满。根据《中华人民共和国环境保护法》《中华人民共和国行政许可法》《中华人民共和国环境影响评价法》《建设项目环境保护管理条例》以及生态环境部《关于统筹做好疫情防控和经济社会发展生态环保工作的指导意见》（环综合〔2020〕13号》等规定，依据你公司及环评文件编制单位的承诺，我局原则同意你公司按照《环境影响报告表》所列项目的性质、规模、地点、采用的生产工艺和环境保护对策措施进行项目建设。</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你公司应全面落实《环境影响报告表》提出的各项环境保护措施，各项环境保护设施与主体工程同时设计、同时施工、同时投入使用，确保各项污染物达标排放，并满足总量控制要求。</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0"/>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该批复有效期为 5 年，如该项目逾期方开工建设，其环境影响报告表应报我局重新审核。在项目投产前，取得污染物排放总量指标，并作为申报排污许可证的条件。按照规定及时进行竣工环境保护验收。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六、验收执行标准</w:t>
      </w:r>
      <w:bookmarkEnd w:id="31"/>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30"/>
          <w:szCs w:val="30"/>
          <w:highlight w:val="none"/>
          <w:lang w:val="en-US" w:eastAsia="zh-CN" w:bidi="ar-SA"/>
        </w:rPr>
      </w:pPr>
      <w:bookmarkStart w:id="32" w:name="_Toc497001473"/>
      <w:r>
        <w:rPr>
          <w:rFonts w:hint="default" w:ascii="Times New Roman" w:hAnsi="Times New Roman" w:eastAsia="宋体" w:cs="Times New Roman"/>
          <w:b/>
          <w:bCs/>
          <w:kern w:val="2"/>
          <w:sz w:val="30"/>
          <w:szCs w:val="30"/>
          <w:highlight w:val="none"/>
          <w:lang w:val="en-US" w:eastAsia="zh-CN" w:bidi="ar-SA"/>
        </w:rPr>
        <w:t>1.污染物排放标准</w:t>
      </w:r>
      <w:bookmarkEnd w:id="32"/>
    </w:p>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color w:val="auto"/>
          <w:sz w:val="28"/>
          <w:szCs w:val="28"/>
          <w:highlight w:val="none"/>
          <w:lang w:val="en-US" w:eastAsia="zh-CN"/>
        </w:rPr>
      </w:pPr>
      <w:bookmarkStart w:id="33" w:name="_Toc497001475"/>
      <w:bookmarkStart w:id="34" w:name="_Toc496979036"/>
      <w:r>
        <w:rPr>
          <w:rFonts w:hint="default" w:ascii="Times New Roman" w:hAnsi="Times New Roman" w:eastAsia="宋体" w:cs="Times New Roman"/>
          <w:b w:val="0"/>
          <w:bCs w:val="0"/>
          <w:color w:val="auto"/>
          <w:sz w:val="28"/>
          <w:szCs w:val="28"/>
          <w:highlight w:val="none"/>
          <w:lang w:val="en-US" w:eastAsia="zh-CN"/>
        </w:rPr>
        <w:t>1.1</w:t>
      </w:r>
      <w:bookmarkEnd w:id="33"/>
      <w:bookmarkEnd w:id="34"/>
      <w:bookmarkStart w:id="35" w:name="_Toc496979038"/>
      <w:bookmarkStart w:id="36" w:name="_Toc497001477"/>
      <w:r>
        <w:rPr>
          <w:rFonts w:hint="default" w:ascii="Times New Roman" w:hAnsi="Times New Roman" w:eastAsia="宋体" w:cs="Times New Roman"/>
          <w:b w:val="0"/>
          <w:bCs w:val="0"/>
          <w:color w:val="auto"/>
          <w:sz w:val="28"/>
          <w:szCs w:val="28"/>
          <w:highlight w:val="none"/>
          <w:lang w:val="en-US" w:eastAsia="zh-CN"/>
        </w:rPr>
        <w:t xml:space="preserve"> </w:t>
      </w:r>
      <w:bookmarkEnd w:id="35"/>
      <w:bookmarkEnd w:id="36"/>
      <w:r>
        <w:rPr>
          <w:rFonts w:hint="default" w:ascii="Times New Roman" w:hAnsi="Times New Roman" w:eastAsia="宋体" w:cs="Times New Roman"/>
          <w:b w:val="0"/>
          <w:bCs w:val="0"/>
          <w:color w:val="auto"/>
          <w:sz w:val="28"/>
          <w:szCs w:val="28"/>
          <w:highlight w:val="none"/>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本项目废气排放执</w:t>
      </w:r>
      <w:r>
        <w:rPr>
          <w:rFonts w:hint="default" w:ascii="Times New Roman" w:hAnsi="Times New Roman" w:eastAsia="宋体" w:cs="Times New Roman"/>
          <w:b w:val="0"/>
          <w:bCs w:val="0"/>
          <w:sz w:val="28"/>
          <w:szCs w:val="28"/>
          <w:highlight w:val="none"/>
          <w:lang w:val="en-US" w:eastAsia="zh-CN"/>
        </w:rPr>
        <w:t>行《大气污染物综合排放标准》（GB16297-1996）表2相关标准和新乡市生态环境局《关于进一步规范工业企业颗粒物排放限值的通知》，具体</w:t>
      </w:r>
      <w:r>
        <w:rPr>
          <w:rFonts w:hint="default" w:ascii="Times New Roman" w:hAnsi="Times New Roman" w:eastAsia="宋体" w:cs="Times New Roman"/>
          <w:b w:val="0"/>
          <w:bCs w:val="0"/>
          <w:sz w:val="28"/>
          <w:szCs w:val="28"/>
          <w:highlight w:val="none"/>
        </w:rPr>
        <w:t>标准值见下表</w:t>
      </w:r>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color w:val="auto"/>
          <w:sz w:val="24"/>
          <w:szCs w:val="24"/>
          <w:highlight w:val="none"/>
          <w:lang w:eastAsia="zh-CN"/>
        </w:rPr>
        <w:t>表</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eastAsia="zh-CN"/>
        </w:rPr>
        <w:t xml:space="preserve">  大气污染物综合排放标准</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009"/>
        <w:gridCol w:w="1145"/>
        <w:gridCol w:w="1514"/>
        <w:gridCol w:w="16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标准名称</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污染因子</w:t>
            </w:r>
          </w:p>
        </w:tc>
        <w:tc>
          <w:tcPr>
            <w:tcW w:w="908"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标准限值浓度</w:t>
            </w:r>
          </w:p>
        </w:tc>
        <w:tc>
          <w:tcPr>
            <w:tcW w:w="999"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排放速率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《大气污染物综合排放标准》（GB16297-1996）表2</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908"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c>
          <w:tcPr>
            <w:tcW w:w="999"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3.5kg/h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6" w:hRule="atLeast"/>
          <w:jc w:val="center"/>
        </w:trPr>
        <w:tc>
          <w:tcPr>
            <w:tcW w:w="24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新乡市生态环境局《关于进一步规范工业企业颗粒物排放限值的通知》</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10mg/m</w:t>
            </w:r>
            <w:r>
              <w:rPr>
                <w:rFonts w:hint="eastAsia" w:ascii="Times New Roman" w:hAnsi="Times New Roman" w:eastAsia="宋体" w:cs="Times New Roman"/>
                <w:color w:val="auto"/>
                <w:sz w:val="24"/>
                <w:szCs w:val="24"/>
                <w:highlight w:val="none"/>
                <w:vertAlign w:val="superscript"/>
                <w:lang w:eastAsia="zh-CN"/>
              </w:rPr>
              <w:t>3</w:t>
            </w:r>
          </w:p>
        </w:tc>
        <w:tc>
          <w:tcPr>
            <w:tcW w:w="99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240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p>
        </w:tc>
        <w:tc>
          <w:tcPr>
            <w:tcW w:w="2594"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无组织排放限值0.5mg/m</w:t>
            </w:r>
            <w:r>
              <w:rPr>
                <w:rFonts w:hint="eastAsia" w:ascii="Times New Roman" w:hAnsi="Times New Roman" w:eastAsia="宋体" w:cs="Times New Roman"/>
                <w:color w:val="auto"/>
                <w:sz w:val="24"/>
                <w:szCs w:val="24"/>
                <w:highlight w:val="none"/>
                <w:vertAlign w:val="superscript"/>
                <w:lang w:eastAsia="zh-CN"/>
              </w:rPr>
              <w:t>3</w:t>
            </w:r>
          </w:p>
        </w:tc>
      </w:tr>
    </w:tbl>
    <w:p>
      <w:pPr>
        <w:pStyle w:val="3"/>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val="0"/>
          <w:bCs w:val="0"/>
          <w:kern w:val="2"/>
          <w:sz w:val="28"/>
          <w:szCs w:val="28"/>
          <w:highlight w:val="none"/>
          <w:lang w:val="en-US" w:eastAsia="zh-CN" w:bidi="ar-SA"/>
        </w:rPr>
      </w:pPr>
      <w:r>
        <w:rPr>
          <w:rFonts w:hint="default" w:ascii="Times New Roman" w:hAnsi="Times New Roman" w:eastAsia="宋体" w:cs="Times New Roman"/>
          <w:b w:val="0"/>
          <w:bCs w:val="0"/>
          <w:kern w:val="2"/>
          <w:sz w:val="28"/>
          <w:szCs w:val="28"/>
          <w:highlight w:val="none"/>
          <w:lang w:val="en-US" w:eastAsia="zh-CN" w:bidi="ar-SA"/>
        </w:rPr>
        <w:t>1.2 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val="0"/>
          <w:kern w:val="2"/>
          <w:sz w:val="28"/>
          <w:szCs w:val="28"/>
          <w:highlight w:val="none"/>
          <w:lang w:val="en-US" w:eastAsia="zh-CN" w:bidi="ar-SA"/>
        </w:rPr>
      </w:pPr>
      <w:bookmarkStart w:id="37" w:name="_Toc497001478"/>
      <w:r>
        <w:rPr>
          <w:rFonts w:hint="eastAsia" w:ascii="Times New Roman" w:hAnsi="Times New Roman" w:eastAsia="宋体" w:cs="Times New Roman"/>
          <w:b w:val="0"/>
          <w:bCs w:val="0"/>
          <w:kern w:val="2"/>
          <w:sz w:val="28"/>
          <w:szCs w:val="28"/>
          <w:highlight w:val="none"/>
          <w:lang w:val="en-US" w:eastAsia="zh-CN" w:bidi="ar-SA"/>
        </w:rPr>
        <w:t>本项目</w:t>
      </w:r>
      <w:r>
        <w:rPr>
          <w:rFonts w:hint="default" w:ascii="Times New Roman" w:hAnsi="Times New Roman" w:eastAsia="宋体" w:cs="Times New Roman"/>
          <w:b w:val="0"/>
          <w:bCs w:val="0"/>
          <w:kern w:val="2"/>
          <w:sz w:val="28"/>
          <w:szCs w:val="28"/>
          <w:highlight w:val="none"/>
          <w:lang w:val="en-US" w:eastAsia="zh-CN" w:bidi="ar-SA"/>
        </w:rPr>
        <w:t>营运期厂界噪声执行《工业企业厂界环境噪声排放标准》（GB12348-2008）2类标准。具体标准值见下表10。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rPr>
      </w:pPr>
      <w:r>
        <w:rPr>
          <w:rFonts w:hint="default" w:ascii="Times New Roman" w:hAnsi="Times New Roman" w:eastAsia="宋体" w:cs="Times New Roman"/>
          <w:sz w:val="24"/>
          <w:highlight w:val="none"/>
        </w:rPr>
        <w:t>表</w:t>
      </w:r>
      <w:r>
        <w:rPr>
          <w:rFonts w:hint="default" w:ascii="Times New Roman" w:hAnsi="Times New Roman" w:eastAsia="宋体" w:cs="Times New Roman"/>
          <w:sz w:val="24"/>
          <w:highlight w:val="none"/>
          <w:lang w:val="en-US" w:eastAsia="zh-CN"/>
        </w:rPr>
        <w:t>10</w:t>
      </w:r>
      <w:r>
        <w:rPr>
          <w:rFonts w:hint="default" w:ascii="Times New Roman" w:hAnsi="Times New Roman" w:eastAsia="宋体" w:cs="Times New Roman"/>
          <w:sz w:val="24"/>
          <w:highlight w:val="none"/>
        </w:rPr>
        <w:t xml:space="preserve">  项目噪声执行标准   单位：dB（A）</w:t>
      </w:r>
    </w:p>
    <w:tbl>
      <w:tblPr>
        <w:tblStyle w:val="30"/>
        <w:tblW w:w="87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794"/>
        <w:gridCol w:w="1489"/>
        <w:gridCol w:w="1440"/>
        <w:gridCol w:w="4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时期</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类别</w:t>
            </w:r>
          </w:p>
        </w:tc>
        <w:tc>
          <w:tcPr>
            <w:tcW w:w="148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标准限值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昼间</w:t>
            </w:r>
            <w:r>
              <w:rPr>
                <w:rFonts w:hint="default" w:ascii="Times New Roman" w:hAnsi="Times New Roman" w:eastAsia="宋体" w:cs="Times New Roman"/>
                <w:color w:val="auto"/>
                <w:sz w:val="24"/>
                <w:szCs w:val="24"/>
                <w:highlight w:val="none"/>
                <w:lang w:eastAsia="zh-CN"/>
              </w:rPr>
              <w:t>）</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标准限值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夜</w:t>
            </w:r>
            <w:r>
              <w:rPr>
                <w:rFonts w:hint="default" w:ascii="Times New Roman" w:hAnsi="Times New Roman" w:eastAsia="宋体" w:cs="Times New Roman"/>
                <w:color w:val="auto"/>
                <w:sz w:val="24"/>
                <w:szCs w:val="24"/>
                <w:highlight w:val="none"/>
              </w:rPr>
              <w:t>间</w:t>
            </w:r>
            <w:r>
              <w:rPr>
                <w:rFonts w:hint="default" w:ascii="Times New Roman" w:hAnsi="Times New Roman" w:eastAsia="宋体" w:cs="Times New Roman"/>
                <w:color w:val="auto"/>
                <w:sz w:val="24"/>
                <w:szCs w:val="24"/>
                <w:highlight w:val="none"/>
                <w:lang w:eastAsia="zh-CN"/>
              </w:rPr>
              <w:t>）</w:t>
            </w:r>
          </w:p>
        </w:tc>
        <w:tc>
          <w:tcPr>
            <w:tcW w:w="405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营运期</w:t>
            </w:r>
          </w:p>
        </w:tc>
        <w:tc>
          <w:tcPr>
            <w:tcW w:w="79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w:t>
            </w:r>
          </w:p>
        </w:tc>
        <w:tc>
          <w:tcPr>
            <w:tcW w:w="148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60</w:t>
            </w: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50</w:t>
            </w:r>
          </w:p>
        </w:tc>
        <w:tc>
          <w:tcPr>
            <w:tcW w:w="405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baseline"/>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w:t>
            </w:r>
            <w:r>
              <w:rPr>
                <w:rFonts w:hint="default" w:ascii="Times New Roman" w:hAnsi="Times New Roman" w:eastAsia="宋体" w:cs="Times New Roman"/>
                <w:b w:val="0"/>
                <w:bCs w:val="0"/>
                <w:color w:val="auto"/>
                <w:sz w:val="24"/>
                <w:szCs w:val="24"/>
                <w:highlight w:val="none"/>
                <w:u w:val="none"/>
                <w:lang w:eastAsia="zh-CN"/>
              </w:rPr>
              <w:t>工业企业厂界</w:t>
            </w:r>
            <w:r>
              <w:rPr>
                <w:rFonts w:hint="default" w:ascii="Times New Roman" w:hAnsi="Times New Roman" w:eastAsia="宋体" w:cs="Times New Roman"/>
                <w:b w:val="0"/>
                <w:bCs w:val="0"/>
                <w:color w:val="auto"/>
                <w:sz w:val="24"/>
                <w:szCs w:val="24"/>
                <w:highlight w:val="none"/>
                <w:u w:val="none"/>
              </w:rPr>
              <w:t>环境噪声排放标准》</w:t>
            </w:r>
          </w:p>
          <w:p>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u w:val="none"/>
              </w:rPr>
              <w:t>(GB</w:t>
            </w:r>
            <w:r>
              <w:rPr>
                <w:rFonts w:hint="default" w:ascii="Times New Roman" w:hAnsi="Times New Roman" w:eastAsia="宋体" w:cs="Times New Roman"/>
                <w:b w:val="0"/>
                <w:bCs w:val="0"/>
                <w:color w:val="auto"/>
                <w:sz w:val="24"/>
                <w:szCs w:val="24"/>
                <w:highlight w:val="none"/>
                <w:u w:val="none"/>
                <w:lang w:val="en-US" w:eastAsia="zh-CN"/>
              </w:rPr>
              <w:t>12348</w:t>
            </w:r>
            <w:r>
              <w:rPr>
                <w:rFonts w:hint="default" w:ascii="Times New Roman" w:hAnsi="Times New Roman" w:eastAsia="宋体" w:cs="Times New Roman"/>
                <w:b w:val="0"/>
                <w:bCs w:val="0"/>
                <w:color w:val="auto"/>
                <w:sz w:val="24"/>
                <w:szCs w:val="24"/>
                <w:highlight w:val="none"/>
                <w:u w:val="none"/>
              </w:rPr>
              <w:t>-2008)</w:t>
            </w:r>
          </w:p>
        </w:tc>
      </w:tr>
    </w:tbl>
    <w:p>
      <w:pPr>
        <w:pStyle w:val="2"/>
        <w:rPr>
          <w:rFonts w:hint="default" w:ascii="Times New Roman" w:hAnsi="Times New Roman" w:eastAsia="宋体" w:cs="Times New Roman"/>
          <w:b w:val="0"/>
          <w:bCs w:val="0"/>
          <w:color w:val="auto"/>
          <w:kern w:val="2"/>
          <w:sz w:val="28"/>
          <w:szCs w:val="28"/>
          <w:highlight w:val="none"/>
          <w:lang w:val="en-US" w:eastAsia="zh-CN" w:bidi="ar-SA"/>
        </w:rPr>
      </w:pPr>
      <w:r>
        <w:rPr>
          <w:rFonts w:hint="default" w:ascii="Times New Roman" w:hAnsi="Times New Roman" w:eastAsia="宋体" w:cs="Times New Roman"/>
          <w:b w:val="0"/>
          <w:bCs w:val="0"/>
          <w:color w:val="auto"/>
          <w:kern w:val="2"/>
          <w:sz w:val="28"/>
          <w:szCs w:val="28"/>
          <w:highlight w:val="none"/>
          <w:lang w:val="en-US" w:eastAsia="zh-CN" w:bidi="ar-SA"/>
        </w:rPr>
        <w:t>1.3 固体废物</w:t>
      </w:r>
    </w:p>
    <w:p>
      <w:pPr>
        <w:rPr>
          <w:rFonts w:hint="default" w:ascii="Times New Roman" w:hAnsi="Times New Roman" w:eastAsia="宋体" w:cs="Times New Roman"/>
          <w:lang w:val="en-US" w:eastAsia="zh-CN"/>
        </w:rPr>
      </w:pPr>
      <w:r>
        <w:rPr>
          <w:rFonts w:hint="default" w:ascii="Times New Roman" w:hAnsi="Times New Roman" w:eastAsia="宋体" w:cs="Times New Roman"/>
          <w:b w:val="0"/>
          <w:bCs w:val="0"/>
          <w:color w:val="auto"/>
          <w:kern w:val="2"/>
          <w:sz w:val="28"/>
          <w:szCs w:val="28"/>
          <w:highlight w:val="none"/>
          <w:lang w:val="en-US" w:eastAsia="zh-CN" w:bidi="ar-SA"/>
        </w:rPr>
        <w:t xml:space="preserve">    </w:t>
      </w:r>
      <w:r>
        <w:rPr>
          <w:rFonts w:hint="default" w:ascii="Times New Roman" w:hAnsi="Times New Roman" w:eastAsia="宋体" w:cs="Times New Roman"/>
          <w:b w:val="0"/>
          <w:bCs w:val="0"/>
          <w:sz w:val="28"/>
          <w:szCs w:val="28"/>
          <w:highlight w:val="none"/>
          <w:lang w:val="en-US" w:eastAsia="zh-CN"/>
        </w:rPr>
        <w:t>固体废物执行《一般工业固体废物贮存、处置场污染控制标准》（GB18599-2001）以及2013年修改单相关标准，《危险废物贮存污染控制标准》（GB18597-2001）及2013年修改单。</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30"/>
          <w:szCs w:val="30"/>
          <w:highlight w:val="none"/>
          <w:lang w:val="en-US" w:eastAsia="zh-CN" w:bidi="ar-SA"/>
        </w:rPr>
      </w:pPr>
      <w:r>
        <w:rPr>
          <w:rFonts w:hint="default" w:ascii="Times New Roman" w:hAnsi="Times New Roman" w:eastAsia="宋体" w:cs="Times New Roman"/>
          <w:b/>
          <w:bCs/>
          <w:kern w:val="2"/>
          <w:sz w:val="30"/>
          <w:szCs w:val="30"/>
          <w:highlight w:val="none"/>
          <w:lang w:val="en-US" w:eastAsia="zh-CN" w:bidi="ar-SA"/>
        </w:rPr>
        <w:t>2.总量控制指标</w:t>
      </w:r>
      <w:bookmarkEnd w:id="37"/>
    </w:p>
    <w:p>
      <w:pPr>
        <w:numPr>
          <w:ilvl w:val="0"/>
          <w:numId w:val="0"/>
        </w:numPr>
        <w:adjustRightInd w:val="0"/>
        <w:snapToGrid w:val="0"/>
        <w:spacing w:line="360" w:lineRule="auto"/>
        <w:ind w:firstLine="560" w:firstLineChars="200"/>
        <w:rPr>
          <w:rFonts w:hint="eastAsia"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pPr>
      <w:bookmarkStart w:id="38" w:name="_Toc497001479"/>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本项目生产过程中，无SO</w:t>
      </w:r>
      <w:r>
        <w:rPr>
          <w:rFonts w:hint="default" w:ascii="Times New Roman" w:hAnsi="Times New Roman" w:eastAsia="宋体" w:cs="Times New Roman"/>
          <w:b w:val="0"/>
          <w:bCs w:val="0"/>
          <w:color w:val="000000" w:themeColor="text1"/>
          <w:kern w:val="2"/>
          <w:sz w:val="28"/>
          <w:szCs w:val="28"/>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、NO</w:t>
      </w:r>
      <w:r>
        <w:rPr>
          <w:rFonts w:hint="default" w:ascii="Times New Roman" w:hAnsi="Times New Roman" w:eastAsia="宋体" w:cs="Times New Roman"/>
          <w:b w:val="0"/>
          <w:bCs w:val="0"/>
          <w:color w:val="000000" w:themeColor="text1"/>
          <w:kern w:val="2"/>
          <w:sz w:val="28"/>
          <w:szCs w:val="28"/>
          <w:highlight w:val="none"/>
          <w:vertAlign w:val="subscript"/>
          <w:lang w:val="en-US" w:eastAsia="zh-CN" w:bidi="ar-SA"/>
          <w14:textFill>
            <w14:solidFill>
              <w14:schemeClr w14:val="tx1"/>
            </w14:solidFill>
          </w14:textFill>
        </w:rPr>
        <w:t>x</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产生，废气主要为生产过程中产生的颗粒物，颗粒物有组织排放量为0.0454t/a，该项目重点污染物新增排放量需要进行双倍替代，项目所需替代量为颗粒物0.0908t，拟从春江水泥有限公司水泥行业超低排放治理项目减排量（颗粒物28.61t）中扣除。本项目无生产废水，不新增生活污水，对地表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sz w:val="36"/>
          <w:szCs w:val="36"/>
          <w:highlight w:val="none"/>
          <w:lang w:val="en-US" w:eastAsia="zh-CN"/>
        </w:rPr>
      </w:pPr>
      <w:r>
        <w:rPr>
          <w:rFonts w:hint="default" w:ascii="Times New Roman" w:hAnsi="Times New Roman" w:eastAsia="宋体" w:cs="Times New Roman"/>
          <w:b/>
          <w:bCs/>
          <w:color w:val="auto"/>
          <w:sz w:val="36"/>
          <w:szCs w:val="36"/>
          <w:highlight w:val="none"/>
          <w:lang w:val="en-US" w:eastAsia="zh-CN"/>
        </w:rPr>
        <w:t>七、验收监测内容</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auto"/>
          <w:kern w:val="2"/>
          <w:sz w:val="30"/>
          <w:szCs w:val="30"/>
          <w:highlight w:val="none"/>
          <w:lang w:val="en-US" w:eastAsia="zh-CN" w:bidi="ar-SA"/>
        </w:rPr>
      </w:pPr>
      <w:r>
        <w:rPr>
          <w:rFonts w:hint="default" w:ascii="Times New Roman" w:hAnsi="Times New Roman" w:eastAsia="宋体" w:cs="Times New Roman"/>
          <w:b/>
          <w:bCs/>
          <w:color w:val="auto"/>
          <w:kern w:val="2"/>
          <w:sz w:val="30"/>
          <w:szCs w:val="30"/>
          <w:highlight w:val="none"/>
          <w:lang w:val="en-US" w:eastAsia="zh-CN" w:bidi="ar-SA"/>
        </w:rPr>
        <w:t>1.环境保护设施调试效果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auto"/>
          <w:sz w:val="28"/>
          <w:szCs w:val="28"/>
          <w:highlight w:val="none"/>
          <w:lang w:val="en-US" w:eastAsia="zh-CN"/>
        </w:rPr>
        <w:t>通过对各类污染物达标排放及各类污染治理设施去除效率的监</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测，来说明环境保护设施调试效果，具体监测内容如下：</w:t>
      </w:r>
    </w:p>
    <w:bookmarkEnd w:id="38"/>
    <w:tbl>
      <w:tblPr>
        <w:tblStyle w:val="30"/>
        <w:tblW w:w="9444" w:type="dxa"/>
        <w:tblInd w:w="9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2797"/>
        <w:gridCol w:w="3163"/>
        <w:gridCol w:w="22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3" w:type="dxa"/>
            <w:tcBorders>
              <w:top w:val="single" w:color="auto" w:sz="4" w:space="0"/>
              <w:left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检测类别</w:t>
            </w:r>
          </w:p>
        </w:tc>
        <w:tc>
          <w:tcPr>
            <w:tcW w:w="2797" w:type="dxa"/>
            <w:tcBorders>
              <w:top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采样点位</w:t>
            </w:r>
          </w:p>
        </w:tc>
        <w:tc>
          <w:tcPr>
            <w:tcW w:w="3163" w:type="dxa"/>
            <w:tcBorders>
              <w:top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检测项目</w:t>
            </w:r>
          </w:p>
        </w:tc>
        <w:tc>
          <w:tcPr>
            <w:tcW w:w="2201" w:type="dxa"/>
            <w:tcBorders>
              <w:top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83" w:type="dxa"/>
            <w:tcBorders>
              <w:left w:val="single" w:color="auto" w:sz="4" w:space="0"/>
              <w:tl2br w:val="nil"/>
              <w:tr2bl w:val="nil"/>
            </w:tcBorders>
            <w:noWrap w:val="0"/>
            <w:vAlign w:val="center"/>
          </w:tcPr>
          <w:p>
            <w:pPr>
              <w:tabs>
                <w:tab w:val="center" w:pos="992"/>
                <w:tab w:val="right" w:pos="1864"/>
              </w:tabs>
              <w:adjustRightInd w:val="0"/>
              <w:snapToGrid w:val="0"/>
              <w:jc w:val="center"/>
              <w:rPr>
                <w:rFonts w:hint="default" w:ascii="Times New Roman" w:hAnsi="Times New Roman" w:eastAsia="宋体" w:cs="Times New Roman"/>
                <w:color w:val="000000"/>
                <w:sz w:val="24"/>
                <w:szCs w:val="24"/>
                <w:lang w:val="zh-CN"/>
              </w:rPr>
            </w:pPr>
            <w:r>
              <w:rPr>
                <w:rFonts w:hint="default" w:ascii="Times New Roman" w:hAnsi="Times New Roman" w:eastAsia="宋体" w:cs="Times New Roman"/>
                <w:sz w:val="24"/>
                <w:szCs w:val="24"/>
                <w:lang w:val="en-US" w:eastAsia="zh-CN"/>
              </w:rPr>
              <w:t>有组织废气</w:t>
            </w:r>
          </w:p>
        </w:tc>
        <w:tc>
          <w:tcPr>
            <w:tcW w:w="2797" w:type="dxa"/>
            <w:tcBorders>
              <w:tl2br w:val="nil"/>
              <w:tr2bl w:val="nil"/>
            </w:tcBorders>
            <w:noWrap w:val="0"/>
            <w:vAlign w:val="center"/>
          </w:tcPr>
          <w:p>
            <w:pPr>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集气罩</w:t>
            </w:r>
            <w:r>
              <w:rPr>
                <w:rFonts w:hint="default" w:ascii="Times New Roman" w:hAnsi="Times New Roman" w:eastAsia="宋体" w:cs="Times New Roman"/>
                <w:sz w:val="24"/>
                <w:szCs w:val="24"/>
                <w:lang w:val="en-US" w:eastAsia="zh-CN"/>
              </w:rPr>
              <w:t>+袋式除尘器+15m高排气筒进、出口</w:t>
            </w:r>
          </w:p>
        </w:tc>
        <w:tc>
          <w:tcPr>
            <w:tcW w:w="3163" w:type="dxa"/>
            <w:tcBorders>
              <w:tl2br w:val="nil"/>
              <w:tr2bl w:val="nil"/>
            </w:tcBorders>
            <w:noWrap w:val="0"/>
            <w:vAlign w:val="center"/>
          </w:tcPr>
          <w:p>
            <w:pPr>
              <w:snapToGrid w:val="0"/>
              <w:jc w:val="center"/>
              <w:rPr>
                <w:rFonts w:hint="default" w:ascii="Times New Roman" w:hAnsi="Times New Roman" w:eastAsia="宋体" w:cs="Times New Roman"/>
                <w:kern w:val="2"/>
                <w:sz w:val="24"/>
                <w:szCs w:val="24"/>
                <w:lang w:eastAsia="zh-CN"/>
              </w:rPr>
            </w:pPr>
            <w:r>
              <w:rPr>
                <w:rFonts w:hint="default" w:ascii="Times New Roman" w:hAnsi="Times New Roman" w:eastAsia="宋体" w:cs="Times New Roman"/>
                <w:kern w:val="2"/>
                <w:sz w:val="24"/>
                <w:szCs w:val="24"/>
                <w:lang w:eastAsia="zh-CN"/>
              </w:rPr>
              <w:t>废气量，颗粒物排放浓度</w:t>
            </w:r>
            <w:r>
              <w:rPr>
                <w:rFonts w:hint="default" w:ascii="Times New Roman" w:hAnsi="Times New Roman" w:eastAsia="宋体" w:cs="Times New Roman"/>
                <w:kern w:val="2"/>
                <w:sz w:val="24"/>
                <w:szCs w:val="24"/>
                <w:lang w:val="en-US" w:eastAsia="zh-CN"/>
              </w:rPr>
              <w:t>及</w:t>
            </w:r>
            <w:r>
              <w:rPr>
                <w:rFonts w:hint="default" w:ascii="Times New Roman" w:hAnsi="Times New Roman" w:eastAsia="宋体" w:cs="Times New Roman"/>
                <w:kern w:val="2"/>
                <w:sz w:val="24"/>
                <w:szCs w:val="24"/>
                <w:lang w:eastAsia="zh-CN"/>
              </w:rPr>
              <w:t>排放速率</w:t>
            </w:r>
          </w:p>
        </w:tc>
        <w:tc>
          <w:tcPr>
            <w:tcW w:w="2201" w:type="dxa"/>
            <w:tcBorders>
              <w:right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3次/</w:t>
            </w:r>
            <w:r>
              <w:rPr>
                <w:rFonts w:hint="default" w:ascii="Times New Roman" w:hAnsi="Times New Roman" w:eastAsia="宋体" w:cs="Times New Roman"/>
                <w:sz w:val="24"/>
                <w:szCs w:val="24"/>
                <w:lang w:val="en-US" w:eastAsia="zh-CN"/>
              </w:rPr>
              <w:t>周期</w:t>
            </w:r>
            <w:r>
              <w:rPr>
                <w:rFonts w:hint="default" w:ascii="Times New Roman" w:hAnsi="Times New Roman" w:eastAsia="宋体" w:cs="Times New Roman"/>
                <w:sz w:val="24"/>
                <w:szCs w:val="24"/>
                <w:lang w:val="en-US"/>
              </w:rPr>
              <w:t>，共</w:t>
            </w:r>
            <w:r>
              <w:rPr>
                <w:rFonts w:hint="default" w:ascii="Times New Roman" w:hAnsi="Times New Roman" w:eastAsia="宋体" w:cs="Times New Roman"/>
                <w:sz w:val="24"/>
                <w:szCs w:val="24"/>
                <w:lang w:val="en-US" w:eastAsia="zh-CN"/>
              </w:rPr>
              <w:t>2周期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83" w:type="dxa"/>
            <w:tcBorders>
              <w:left w:val="single" w:color="auto" w:sz="4" w:space="0"/>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无组织废气</w:t>
            </w:r>
          </w:p>
        </w:tc>
        <w:tc>
          <w:tcPr>
            <w:tcW w:w="2797" w:type="dxa"/>
            <w:tcBorders>
              <w:tl2br w:val="nil"/>
              <w:tr2bl w:val="nil"/>
            </w:tcBorders>
            <w:noWrap w:val="0"/>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上风向1#，下风向2#、3#、4#</w:t>
            </w:r>
          </w:p>
        </w:tc>
        <w:tc>
          <w:tcPr>
            <w:tcW w:w="3163" w:type="dxa"/>
            <w:tcBorders>
              <w:tl2br w:val="nil"/>
              <w:tr2bl w:val="nil"/>
            </w:tcBorders>
            <w:noWrap w:val="0"/>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颗粒物</w:t>
            </w:r>
          </w:p>
        </w:tc>
        <w:tc>
          <w:tcPr>
            <w:tcW w:w="2201" w:type="dxa"/>
            <w:tcBorders>
              <w:right w:val="single" w:color="auto" w:sz="4" w:space="0"/>
              <w:tl2br w:val="nil"/>
              <w:tr2bl w:val="nil"/>
            </w:tcBorders>
            <w:noWrap w:val="0"/>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rPr>
              <w:t>次/</w:t>
            </w:r>
            <w:r>
              <w:rPr>
                <w:rFonts w:hint="default" w:ascii="Times New Roman" w:hAnsi="Times New Roman" w:eastAsia="宋体" w:cs="Times New Roman"/>
                <w:sz w:val="24"/>
                <w:szCs w:val="24"/>
                <w:lang w:val="en-US" w:eastAsia="zh-CN"/>
              </w:rPr>
              <w:t>天</w:t>
            </w:r>
            <w:r>
              <w:rPr>
                <w:rFonts w:hint="default" w:ascii="Times New Roman" w:hAnsi="Times New Roman" w:eastAsia="宋体" w:cs="Times New Roman"/>
                <w:sz w:val="24"/>
                <w:szCs w:val="24"/>
                <w:lang w:val="en-US"/>
              </w:rPr>
              <w:t>，共</w:t>
            </w:r>
            <w:r>
              <w:rPr>
                <w:rFonts w:hint="default" w:ascii="Times New Roman" w:hAnsi="Times New Roman" w:eastAsia="宋体" w:cs="Times New Roman"/>
                <w:sz w:val="24"/>
                <w:szCs w:val="24"/>
                <w:lang w:val="en-US" w:eastAsia="zh-CN"/>
              </w:rPr>
              <w:t>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83" w:type="dxa"/>
            <w:tcBorders>
              <w:left w:val="single" w:color="auto" w:sz="4" w:space="0"/>
              <w:bottom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噪声</w:t>
            </w:r>
          </w:p>
        </w:tc>
        <w:tc>
          <w:tcPr>
            <w:tcW w:w="2797"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东、南、西、</w:t>
            </w:r>
            <w:r>
              <w:rPr>
                <w:rFonts w:hint="default" w:ascii="Times New Roman" w:hAnsi="Times New Roman" w:eastAsia="宋体" w:cs="Times New Roman"/>
                <w:sz w:val="24"/>
                <w:szCs w:val="24"/>
                <w:lang w:eastAsia="zh-CN"/>
              </w:rPr>
              <w:t>北</w:t>
            </w:r>
            <w:r>
              <w:rPr>
                <w:rFonts w:hint="default" w:ascii="Times New Roman" w:hAnsi="Times New Roman" w:eastAsia="宋体" w:cs="Times New Roman"/>
                <w:sz w:val="24"/>
                <w:szCs w:val="24"/>
              </w:rPr>
              <w:t>厂界</w:t>
            </w:r>
          </w:p>
        </w:tc>
        <w:tc>
          <w:tcPr>
            <w:tcW w:w="3163" w:type="dxa"/>
            <w:tcBorders>
              <w:bottom w:val="single" w:color="auto" w:sz="4" w:space="0"/>
              <w:tl2br w:val="nil"/>
              <w:tr2bl w:val="nil"/>
            </w:tcBorders>
            <w:noWrap w:val="0"/>
            <w:vAlign w:val="center"/>
          </w:tcPr>
          <w:p>
            <w:pPr>
              <w:snapToGrid w:val="0"/>
              <w:jc w:val="center"/>
              <w:rPr>
                <w:rFonts w:hint="default" w:ascii="Times New Roman" w:hAnsi="Times New Roman" w:eastAsia="宋体" w:cs="Times New Roman"/>
                <w:color w:val="auto"/>
                <w:sz w:val="24"/>
                <w:szCs w:val="24"/>
                <w:highlight w:val="none"/>
                <w:vertAlign w:val="baseline"/>
                <w:lang w:val="en-US" w:eastAsia="zh-CN" w:bidi="ar-SA"/>
              </w:rPr>
            </w:pPr>
            <w:r>
              <w:rPr>
                <w:rFonts w:hint="default" w:ascii="Times New Roman" w:hAnsi="Times New Roman" w:eastAsia="宋体" w:cs="Times New Roman"/>
                <w:kern w:val="0"/>
                <w:sz w:val="24"/>
                <w:szCs w:val="24"/>
                <w:lang w:val="en-US" w:eastAsia="zh-CN"/>
              </w:rPr>
              <w:t>等效连续A声级</w:t>
            </w:r>
          </w:p>
        </w:tc>
        <w:tc>
          <w:tcPr>
            <w:tcW w:w="2201" w:type="dxa"/>
            <w:tcBorders>
              <w:bottom w:val="single" w:color="auto" w:sz="4" w:space="0"/>
              <w:right w:val="single" w:color="auto" w:sz="4" w:space="0"/>
              <w:tl2br w:val="nil"/>
              <w:tr2bl w:val="nil"/>
            </w:tcBorders>
            <w:noWrap w:val="0"/>
            <w:vAlign w:val="center"/>
          </w:tcPr>
          <w:p>
            <w:pPr>
              <w:snapToGrid w:val="0"/>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sz w:val="24"/>
                <w:szCs w:val="24"/>
                <w:lang w:val="en-US" w:eastAsia="zh-CN"/>
              </w:rPr>
              <w:t>昼、夜各1次，共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天</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6"/>
          <w:szCs w:val="36"/>
          <w:highlight w:val="none"/>
          <w:lang w:val="en-US" w:eastAsia="zh-CN"/>
        </w:rPr>
      </w:pPr>
      <w:r>
        <w:rPr>
          <w:rFonts w:hint="default" w:ascii="Times New Roman" w:hAnsi="Times New Roman" w:eastAsia="宋体" w:cs="Times New Roman"/>
          <w:b/>
          <w:bCs/>
          <w:sz w:val="36"/>
          <w:szCs w:val="36"/>
          <w:highlight w:val="none"/>
          <w:lang w:val="en-US" w:eastAsia="zh-CN"/>
        </w:rPr>
        <w:t>八、质量保证及质量控制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bookmarkStart w:id="39" w:name="_Toc497001481"/>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质量控制与质量保证严格按照国家相关标准要求进行，实施全过程质量保证：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1、所有检测及分析仪器均在有效检定期内，并参照有关计量检定规程定期校验和维护。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2、检测人员均经考核合格，并持证上岗。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3、所有项目按国家有关规定及我公司质控要求进行质量控制，检测数据严格实行三级审核。</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1.监测分析方法</w:t>
      </w:r>
      <w:bookmarkEnd w:id="39"/>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及检测使用仪器</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本项目监测内容主要为颗粒物、噪声监测，监测方法见</w:t>
      </w:r>
      <w:r>
        <w:rPr>
          <w:rFonts w:hint="default" w:ascii="Times New Roman" w:hAnsi="Times New Roman" w:eastAsia="宋体" w:cs="Times New Roman"/>
          <w:b w:val="0"/>
          <w:bCs/>
          <w:color w:val="000000" w:themeColor="text1"/>
          <w:sz w:val="28"/>
          <w:szCs w:val="28"/>
          <w:highlight w:val="none"/>
          <w14:textFill>
            <w14:solidFill>
              <w14:schemeClr w14:val="tx1"/>
            </w14:solidFill>
          </w14:textFill>
        </w:rPr>
        <w:t>表</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11   </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噪声监</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测分析方法及使用仪器设备一览表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130"/>
        <w:gridCol w:w="1412"/>
        <w:gridCol w:w="2133"/>
        <w:gridCol w:w="1589"/>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dxa"/>
            <w:vAlign w:val="center"/>
          </w:tcPr>
          <w:p>
            <w:pPr>
              <w:spacing w:line="360" w:lineRule="exact"/>
              <w:jc w:val="center"/>
              <w:rPr>
                <w:rFonts w:hint="default" w:ascii="Times New Roman" w:hAnsi="Times New Roman" w:eastAsia="宋体" w:cs="Times New Roman"/>
                <w:sz w:val="24"/>
                <w:szCs w:val="24"/>
                <w:vertAlign w:val="baseline"/>
              </w:rPr>
            </w:pPr>
            <w:bookmarkStart w:id="40" w:name="_Toc497001484"/>
            <w:r>
              <w:rPr>
                <w:rFonts w:hint="default" w:ascii="Times New Roman" w:hAnsi="Times New Roman" w:eastAsia="宋体" w:cs="Times New Roman"/>
                <w:sz w:val="24"/>
                <w:szCs w:val="24"/>
                <w:lang w:val="en-US" w:eastAsia="zh-CN"/>
              </w:rPr>
              <w:t>序号</w:t>
            </w:r>
          </w:p>
        </w:tc>
        <w:tc>
          <w:tcPr>
            <w:tcW w:w="1130"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检测项目</w:t>
            </w:r>
          </w:p>
        </w:tc>
        <w:tc>
          <w:tcPr>
            <w:tcW w:w="1412"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检测标准</w:t>
            </w:r>
          </w:p>
        </w:tc>
        <w:tc>
          <w:tcPr>
            <w:tcW w:w="2133"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检测方法</w:t>
            </w:r>
          </w:p>
        </w:tc>
        <w:tc>
          <w:tcPr>
            <w:tcW w:w="1589"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检测仪器</w:t>
            </w:r>
          </w:p>
        </w:tc>
        <w:tc>
          <w:tcPr>
            <w:tcW w:w="1253"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005" w:type="dxa"/>
            <w:vMerge w:val="restart"/>
            <w:vAlign w:val="center"/>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w:t>
            </w:r>
          </w:p>
        </w:tc>
        <w:tc>
          <w:tcPr>
            <w:tcW w:w="1130" w:type="dxa"/>
            <w:vMerge w:val="restart"/>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lang w:eastAsia="zh-CN"/>
              </w:rPr>
              <w:t>颗粒物</w:t>
            </w:r>
          </w:p>
        </w:tc>
        <w:tc>
          <w:tcPr>
            <w:tcW w:w="1412" w:type="dxa"/>
            <w:vAlign w:val="center"/>
          </w:tcPr>
          <w:p>
            <w:pPr>
              <w:widowControl/>
              <w:spacing w:line="240" w:lineRule="auto"/>
              <w:jc w:val="center"/>
              <w:textAlignment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GB/T</w:t>
            </w:r>
          </w:p>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rPr>
              <w:t>16157-1996</w:t>
            </w:r>
            <w:r>
              <w:rPr>
                <w:rStyle w:val="138"/>
                <w:rFonts w:hint="default" w:ascii="Times New Roman" w:hAnsi="Times New Roman" w:eastAsia="宋体" w:cs="Times New Roman"/>
                <w:color w:val="auto"/>
                <w:sz w:val="24"/>
                <w:szCs w:val="24"/>
              </w:rPr>
              <w:t>及修改单</w:t>
            </w:r>
          </w:p>
        </w:tc>
        <w:tc>
          <w:tcPr>
            <w:tcW w:w="2133" w:type="dxa"/>
            <w:vAlign w:val="center"/>
          </w:tcPr>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rPr>
              <w:t>固定污染源排气中颗粒物测定与气态污染物采样方法</w:t>
            </w:r>
          </w:p>
        </w:tc>
        <w:tc>
          <w:tcPr>
            <w:tcW w:w="158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分析天平</w:t>
            </w:r>
          </w:p>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FA2004</w:t>
            </w:r>
          </w:p>
        </w:tc>
        <w:tc>
          <w:tcPr>
            <w:tcW w:w="1253" w:type="dxa"/>
            <w:vAlign w:val="center"/>
          </w:tcPr>
          <w:p>
            <w:pPr>
              <w:spacing w:line="240" w:lineRule="auto"/>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005" w:type="dxa"/>
            <w:vMerge w:val="continue"/>
            <w:vAlign w:val="center"/>
          </w:tcPr>
          <w:p>
            <w:pPr>
              <w:jc w:val="center"/>
              <w:rPr>
                <w:rFonts w:hint="default" w:ascii="Times New Roman" w:hAnsi="Times New Roman" w:eastAsia="宋体" w:cs="Times New Roman"/>
                <w:sz w:val="24"/>
                <w:szCs w:val="24"/>
                <w:vertAlign w:val="baseline"/>
              </w:rPr>
            </w:pPr>
          </w:p>
        </w:tc>
        <w:tc>
          <w:tcPr>
            <w:tcW w:w="1130" w:type="dxa"/>
            <w:vMerge w:val="continue"/>
            <w:vAlign w:val="center"/>
          </w:tcPr>
          <w:p>
            <w:pPr>
              <w:jc w:val="center"/>
              <w:rPr>
                <w:rFonts w:hint="default" w:ascii="Times New Roman" w:hAnsi="Times New Roman" w:eastAsia="宋体" w:cs="Times New Roman"/>
                <w:sz w:val="24"/>
                <w:szCs w:val="24"/>
                <w:vertAlign w:val="baseline"/>
              </w:rPr>
            </w:pPr>
          </w:p>
        </w:tc>
        <w:tc>
          <w:tcPr>
            <w:tcW w:w="1412" w:type="dxa"/>
            <w:vAlign w:val="center"/>
          </w:tcPr>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lang w:val="en-US" w:eastAsia="zh-CN"/>
              </w:rPr>
              <w:t>HJ</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836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2017</w:t>
            </w:r>
          </w:p>
        </w:tc>
        <w:tc>
          <w:tcPr>
            <w:tcW w:w="2133" w:type="dxa"/>
            <w:vAlign w:val="center"/>
          </w:tcPr>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rPr>
              <w:t>固定污染</w:t>
            </w:r>
            <w:r>
              <w:rPr>
                <w:rFonts w:hint="default" w:ascii="Times New Roman" w:hAnsi="Times New Roman" w:eastAsia="宋体" w:cs="Times New Roman"/>
                <w:color w:val="auto"/>
                <w:sz w:val="24"/>
                <w:szCs w:val="24"/>
                <w:lang w:val="en-US" w:eastAsia="zh-CN"/>
              </w:rPr>
              <w:t>源废气 低浓度颗粒物的测定  重量法</w:t>
            </w:r>
          </w:p>
        </w:tc>
        <w:tc>
          <w:tcPr>
            <w:tcW w:w="158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分析天平</w:t>
            </w:r>
          </w:p>
          <w:p>
            <w:pPr>
              <w:widowControl/>
              <w:spacing w:line="240" w:lineRule="auto"/>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i w:val="0"/>
                <w:color w:val="auto"/>
                <w:kern w:val="0"/>
                <w:sz w:val="24"/>
                <w:szCs w:val="24"/>
                <w:u w:val="none"/>
                <w:lang w:val="en-US" w:eastAsia="zh-CN" w:bidi="ar"/>
              </w:rPr>
              <w:t>AUW120D</w:t>
            </w:r>
          </w:p>
        </w:tc>
        <w:tc>
          <w:tcPr>
            <w:tcW w:w="1253" w:type="dxa"/>
            <w:vAlign w:val="center"/>
          </w:tcPr>
          <w:p>
            <w:pPr>
              <w:spacing w:line="240" w:lineRule="auto"/>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lang w:val="en-US" w:eastAsia="zh-CN"/>
              </w:rPr>
              <w:t>1.0mg/m</w:t>
            </w:r>
            <w:r>
              <w:rPr>
                <w:rFonts w:hint="default" w:ascii="Times New Roman" w:hAnsi="Times New Roman" w:eastAsia="宋体" w:cs="Times New Roman"/>
                <w:color w:val="auto"/>
                <w:sz w:val="24"/>
                <w:szCs w:val="24"/>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1005" w:type="dxa"/>
            <w:vAlign w:val="center"/>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2</w:t>
            </w:r>
          </w:p>
        </w:tc>
        <w:tc>
          <w:tcPr>
            <w:tcW w:w="1130"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lang w:val="en-US" w:eastAsia="zh-CN"/>
              </w:rPr>
              <w:t>总悬浮</w:t>
            </w:r>
            <w:r>
              <w:rPr>
                <w:rFonts w:hint="default" w:ascii="Times New Roman" w:hAnsi="Times New Roman" w:eastAsia="宋体" w:cs="Times New Roman"/>
                <w:sz w:val="24"/>
                <w:szCs w:val="24"/>
                <w:lang w:eastAsia="zh-CN"/>
              </w:rPr>
              <w:t>颗粒物</w:t>
            </w:r>
          </w:p>
        </w:tc>
        <w:tc>
          <w:tcPr>
            <w:tcW w:w="1412"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kern w:val="0"/>
                <w:sz w:val="24"/>
                <w:szCs w:val="24"/>
                <w:lang w:bidi="ar"/>
              </w:rPr>
              <w:t>GB/T 15432-1995及修改单</w:t>
            </w:r>
          </w:p>
        </w:tc>
        <w:tc>
          <w:tcPr>
            <w:tcW w:w="2133"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rPr>
              <w:t>环境空气 总悬浮颗粒物的测定 重量法</w:t>
            </w:r>
          </w:p>
        </w:tc>
        <w:tc>
          <w:tcPr>
            <w:tcW w:w="1589" w:type="dxa"/>
            <w:vAlign w:val="center"/>
          </w:tcPr>
          <w:p>
            <w:pPr>
              <w:keepNext w:val="0"/>
              <w:keepLines w:val="0"/>
              <w:widowControl/>
              <w:suppressLineNumbers w:val="0"/>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kern w:val="0"/>
                <w:sz w:val="24"/>
                <w:szCs w:val="24"/>
                <w:lang w:val="en-US" w:eastAsia="zh-CN" w:bidi="ar"/>
              </w:rPr>
              <w:t>分析天平FA2004</w:t>
            </w:r>
          </w:p>
        </w:tc>
        <w:tc>
          <w:tcPr>
            <w:tcW w:w="1253" w:type="dxa"/>
            <w:vAlign w:val="center"/>
          </w:tcPr>
          <w:p>
            <w:pPr>
              <w:spacing w:line="240" w:lineRule="auto"/>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000000"/>
                <w:sz w:val="24"/>
                <w:szCs w:val="24"/>
                <w:lang w:val="en-US" w:eastAsia="zh-CN"/>
              </w:rPr>
              <w:t>0.001mg/m</w:t>
            </w:r>
            <w:r>
              <w:rPr>
                <w:rFonts w:hint="default" w:ascii="Times New Roman" w:hAnsi="Times New Roman" w:eastAsia="宋体" w:cs="Times New Roman"/>
                <w:color w:val="000000"/>
                <w:sz w:val="24"/>
                <w:szCs w:val="24"/>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1005" w:type="dxa"/>
            <w:vAlign w:val="center"/>
          </w:tcPr>
          <w:p>
            <w:pPr>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3</w:t>
            </w:r>
          </w:p>
        </w:tc>
        <w:tc>
          <w:tcPr>
            <w:tcW w:w="1130"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lang w:val="en-US" w:eastAsia="zh-CN"/>
              </w:rPr>
              <w:t>厂界环境噪声</w:t>
            </w:r>
          </w:p>
        </w:tc>
        <w:tc>
          <w:tcPr>
            <w:tcW w:w="1412" w:type="dxa"/>
            <w:vAlign w:val="center"/>
          </w:tcPr>
          <w:p>
            <w:pPr>
              <w:widowControl/>
              <w:jc w:val="center"/>
              <w:textAlignment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GB</w:t>
            </w:r>
          </w:p>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kern w:val="0"/>
                <w:sz w:val="24"/>
                <w:szCs w:val="24"/>
                <w:lang w:val="en-US" w:eastAsia="zh-CN"/>
              </w:rPr>
              <w:t>12348-2008</w:t>
            </w:r>
          </w:p>
        </w:tc>
        <w:tc>
          <w:tcPr>
            <w:tcW w:w="2133"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kern w:val="0"/>
                <w:sz w:val="24"/>
                <w:szCs w:val="24"/>
                <w:lang w:val="en-US" w:eastAsia="zh-CN"/>
              </w:rPr>
              <w:t>工业企业厂界环境噪声排放标准</w:t>
            </w:r>
          </w:p>
        </w:tc>
        <w:tc>
          <w:tcPr>
            <w:tcW w:w="1589" w:type="dxa"/>
            <w:vAlign w:val="center"/>
          </w:tcPr>
          <w:p>
            <w:pPr>
              <w:widowControl/>
              <w:jc w:val="center"/>
              <w:textAlignment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kern w:val="0"/>
                <w:sz w:val="24"/>
                <w:szCs w:val="24"/>
              </w:rPr>
              <w:t>多功能声级计AWA5688</w:t>
            </w:r>
          </w:p>
        </w:tc>
        <w:tc>
          <w:tcPr>
            <w:tcW w:w="1253" w:type="dxa"/>
            <w:vAlign w:val="center"/>
          </w:tcPr>
          <w:p>
            <w:pPr>
              <w:spacing w:line="360" w:lineRule="exact"/>
              <w:jc w:val="center"/>
              <w:rPr>
                <w:rFonts w:hint="default" w:ascii="Times New Roman" w:hAnsi="Times New Roman" w:eastAsia="宋体" w:cs="Times New Roman"/>
                <w:sz w:val="24"/>
                <w:szCs w:val="24"/>
                <w:vertAlign w:val="baseline"/>
              </w:rPr>
            </w:pPr>
            <w:r>
              <w:rPr>
                <w:rFonts w:hint="default" w:ascii="Times New Roman" w:hAnsi="Times New Roman" w:eastAsia="宋体" w:cs="Times New Roman"/>
                <w:color w:val="auto"/>
                <w:sz w:val="24"/>
                <w:szCs w:val="24"/>
                <w:lang w:val="en-US" w:eastAsia="zh-CN"/>
              </w:rPr>
              <w:t>/</w:t>
            </w: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2.人员资质</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河南永蓝检测技术有限公司</w:t>
      </w:r>
      <w:r>
        <w:rPr>
          <w:rFonts w:hint="default" w:ascii="Times New Roman" w:hAnsi="Times New Roman" w:eastAsia="宋体" w:cs="Times New Roman"/>
          <w:b w:val="0"/>
          <w:bCs/>
          <w:color w:val="000000" w:themeColor="text1"/>
          <w:sz w:val="28"/>
          <w:szCs w:val="28"/>
          <w:highlight w:val="none"/>
          <w:lang w:val="en-US" w:eastAsia="zh-CN"/>
          <w14:textFill>
            <w14:solidFill>
              <w14:schemeClr w14:val="tx1"/>
            </w14:solidFill>
          </w14:textFill>
        </w:rPr>
        <w:t>具备监测机构资质认定证书，见附件</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kern w:val="2"/>
          <w:sz w:val="30"/>
          <w:szCs w:val="30"/>
          <w:highlight w:val="none"/>
          <w:lang w:val="en-US" w:eastAsia="zh-CN" w:bidi="ar-SA"/>
        </w:rPr>
      </w:pPr>
      <w:r>
        <w:rPr>
          <w:rFonts w:hint="default" w:ascii="Times New Roman" w:hAnsi="Times New Roman" w:eastAsia="宋体" w:cs="Times New Roman"/>
          <w:b/>
          <w:bCs/>
          <w:kern w:val="2"/>
          <w:sz w:val="30"/>
          <w:szCs w:val="30"/>
          <w:highlight w:val="none"/>
          <w:lang w:val="en-US" w:eastAsia="zh-CN" w:bidi="ar-SA"/>
        </w:rPr>
        <w:t>3.噪声监测分析过程中的质量保证和质量控制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噪声监测前后，对噪声统计分析仪进行声级校准，校准结果见表12。</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表12    噪声测量前、后仪器校准结果</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303"/>
        <w:gridCol w:w="1214"/>
        <w:gridCol w:w="989"/>
        <w:gridCol w:w="1137"/>
        <w:gridCol w:w="1181"/>
        <w:gridCol w:w="2698"/>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303"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w:t>
            </w:r>
          </w:p>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日期</w:t>
            </w:r>
          </w:p>
        </w:tc>
        <w:tc>
          <w:tcPr>
            <w:tcW w:w="4521" w:type="dxa"/>
            <w:gridSpan w:val="4"/>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校准声级（dB）A</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303"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c>
          <w:tcPr>
            <w:tcW w:w="1214"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标准声源值</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测量后</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差值</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30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01</w:t>
            </w:r>
          </w:p>
        </w:tc>
        <w:tc>
          <w:tcPr>
            <w:tcW w:w="1214"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w:t>
            </w:r>
            <w:r>
              <w:rPr>
                <w:rFonts w:hint="eastAsia" w:ascii="Times New Roman" w:hAnsi="Times New Roman" w:eastAsia="宋体" w:cs="Times New Roman"/>
                <w:color w:val="auto"/>
                <w:sz w:val="24"/>
                <w:szCs w:val="24"/>
                <w:highlight w:val="none"/>
                <w:lang w:val="en-US" w:eastAsia="zh-CN"/>
              </w:rPr>
              <w:t>8</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lang w:val="en-US" w:eastAsia="zh-CN"/>
              </w:rPr>
              <w:t>1</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测量前、后校准声级差值小于0.2 dB（A），测量数据有效。</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trPr>
        <w:tc>
          <w:tcPr>
            <w:tcW w:w="130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02</w:t>
            </w:r>
          </w:p>
        </w:tc>
        <w:tc>
          <w:tcPr>
            <w:tcW w:w="1214"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93.</w:t>
            </w:r>
            <w:r>
              <w:rPr>
                <w:rFonts w:hint="default" w:ascii="Times New Roman" w:hAnsi="Times New Roman" w:eastAsia="宋体" w:cs="Times New Roman"/>
                <w:color w:val="auto"/>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0</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rPr>
            </w:pPr>
          </w:p>
        </w:tc>
      </w:tr>
    </w:tbl>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九、验收监测结果</w:t>
      </w:r>
      <w:bookmarkEnd w:id="40"/>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 xml:space="preserve"> </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bookmarkStart w:id="41" w:name="_Toc497001485"/>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1.生产工况</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河南永蓝检测技术有限公司于</w:t>
      </w:r>
      <w:r>
        <w:rPr>
          <w:rFonts w:hint="default" w:ascii="Times New Roman" w:hAnsi="Times New Roman" w:eastAsia="宋体" w:cs="Times New Roman"/>
          <w:color w:val="000000" w:themeColor="text1"/>
          <w:sz w:val="28"/>
          <w:szCs w:val="28"/>
          <w:highlight w:val="none"/>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8"/>
          <w:szCs w:val="28"/>
          <w:highlight w:val="none"/>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z w:val="28"/>
          <w:szCs w:val="28"/>
          <w:highlight w:val="none"/>
          <w14:textFill>
            <w14:solidFill>
              <w14:schemeClr w14:val="tx1"/>
            </w14:solidFill>
          </w14:textFill>
        </w:rPr>
        <w:t>日至</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02</w:t>
      </w:r>
      <w:r>
        <w:rPr>
          <w:rFonts w:hint="default" w:ascii="Times New Roman" w:hAnsi="Times New Roman" w:eastAsia="宋体" w:cs="Times New Roman"/>
          <w:color w:val="000000" w:themeColor="text1"/>
          <w:sz w:val="28"/>
          <w:szCs w:val="28"/>
          <w:highlight w:val="none"/>
          <w14:textFill>
            <w14:solidFill>
              <w14:schemeClr w14:val="tx1"/>
            </w14:solidFill>
          </w14:textFill>
        </w:rPr>
        <w:t>日进行了竣工验收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并出具</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报告。</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验收监测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期间，企业生产负荷大于75%，满足环保验收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技术要求</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；验收监测期间，各类污染治理设施运行正常。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验收</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8"/>
          <w:szCs w:val="28"/>
          <w:highlight w:val="none"/>
          <w14:textFill>
            <w14:solidFill>
              <w14:schemeClr w14:val="tx1"/>
            </w14:solidFill>
          </w14:textFill>
        </w:rPr>
        <w:t>期间，项目生产负荷统计见</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表</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13。</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 xml:space="preserve"> 验收</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期间生产工况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2063"/>
        <w:gridCol w:w="2825"/>
        <w:gridCol w:w="2343"/>
        <w:gridCol w:w="129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2063"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24"/>
                <w:szCs w:val="24"/>
                <w:highlight w:val="none"/>
                <w14:textFill>
                  <w14:solidFill>
                    <w14:schemeClr w14:val="tx1"/>
                  </w14:solidFill>
                </w14:textFill>
              </w:rPr>
              <w:t>日期</w:t>
            </w:r>
          </w:p>
        </w:tc>
        <w:tc>
          <w:tcPr>
            <w:tcW w:w="2825"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项目设计</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养殖设备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产量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2343"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实际养殖设备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量</w:t>
            </w:r>
          </w:p>
          <w:p>
            <w:pPr>
              <w:spacing w:line="360" w:lineRule="exact"/>
              <w:ind w:firstLine="0" w:firstLine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1291"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生产负荷（%）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206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01</w:t>
            </w:r>
          </w:p>
        </w:tc>
        <w:tc>
          <w:tcPr>
            <w:tcW w:w="282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37.3</w:t>
            </w:r>
          </w:p>
        </w:tc>
        <w:tc>
          <w:tcPr>
            <w:tcW w:w="2343"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32.4</w:t>
            </w:r>
          </w:p>
        </w:tc>
        <w:tc>
          <w:tcPr>
            <w:tcW w:w="12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2063" w:type="dxa"/>
            <w:tcBorders>
              <w:tl2br w:val="nil"/>
              <w:tr2bl w:val="nil"/>
            </w:tcBorders>
            <w:vAlign w:val="center"/>
          </w:tcPr>
          <w:p>
            <w:pPr>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02</w:t>
            </w:r>
          </w:p>
        </w:tc>
        <w:tc>
          <w:tcPr>
            <w:tcW w:w="282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37.3</w:t>
            </w:r>
          </w:p>
        </w:tc>
        <w:tc>
          <w:tcPr>
            <w:tcW w:w="2343"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33.2</w:t>
            </w:r>
          </w:p>
        </w:tc>
        <w:tc>
          <w:tcPr>
            <w:tcW w:w="129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89</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55" w:hRule="atLeast"/>
          <w:jc w:val="center"/>
        </w:trPr>
        <w:tc>
          <w:tcPr>
            <w:tcW w:w="8522" w:type="dxa"/>
            <w:gridSpan w:val="4"/>
            <w:tcBorders>
              <w:tl2br w:val="nil"/>
              <w:tr2bl w:val="nil"/>
            </w:tcBorders>
            <w:vAlign w:val="center"/>
          </w:tcPr>
          <w:p>
            <w:pPr>
              <w:spacing w:line="240" w:lineRule="auto"/>
              <w:ind w:firstLine="0" w:firstLineChars="0"/>
              <w:jc w:val="both"/>
              <w:rPr>
                <w:rFonts w:hint="default" w:ascii="Times New Roman" w:hAnsi="Times New Roman" w:eastAsia="宋体" w:cs="Times New Roman"/>
                <w:color w:val="FF0000"/>
                <w:sz w:val="24"/>
                <w:szCs w:val="24"/>
                <w:highlight w:val="none"/>
                <w:lang w:val="en-US"/>
              </w:rPr>
            </w:pPr>
            <w:r>
              <w:rPr>
                <w:rFonts w:hint="default" w:ascii="Times New Roman" w:hAnsi="Times New Roman" w:eastAsia="宋体" w:cs="Times New Roman"/>
                <w:color w:val="000000" w:themeColor="text1"/>
                <w:sz w:val="24"/>
                <w:szCs w:val="24"/>
                <w:highlight w:val="none"/>
                <w14:textFill>
                  <w14:solidFill>
                    <w14:schemeClr w14:val="tx1"/>
                  </w14:solidFill>
                </w14:textFill>
              </w:rPr>
              <w:t>注：数据由企业提供。按年工作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300天，单班制，每班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小时。</w:t>
            </w: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2</w:t>
      </w:r>
      <w:bookmarkEnd w:id="41"/>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.环境保设施调试效果</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bookmarkStart w:id="42" w:name="_Toc497001486"/>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2.1 污染物达标排放监测结果</w:t>
      </w:r>
    </w:p>
    <w:bookmarkEnd w:id="42"/>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bookmarkStart w:id="43" w:name="_Toc497001489"/>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（1）有组织废气监测结果</w:t>
      </w:r>
    </w:p>
    <w:bookmarkEnd w:id="43"/>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color w:val="000000" w:themeColor="text1"/>
          <w:sz w:val="28"/>
          <w:szCs w:val="28"/>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有组织废气监测结果</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见表</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14。</w:t>
      </w:r>
    </w:p>
    <w:p>
      <w:pPr>
        <w:pStyle w:val="4"/>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14</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有组织废气监测结果</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1204"/>
        <w:gridCol w:w="1195"/>
        <w:gridCol w:w="1195"/>
        <w:gridCol w:w="1214"/>
        <w:gridCol w:w="1212"/>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296" w:type="dxa"/>
            <w:vMerge w:val="restart"/>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lang w:val="en-US" w:eastAsia="zh-CN"/>
              </w:rPr>
              <w:t>采样</w:t>
            </w:r>
            <w:r>
              <w:rPr>
                <w:rFonts w:hint="default" w:ascii="Times New Roman" w:hAnsi="Times New Roman" w:eastAsia="宋体" w:cs="Times New Roman"/>
                <w:color w:val="auto"/>
                <w:sz w:val="24"/>
                <w:szCs w:val="24"/>
              </w:rPr>
              <w:t>日期</w:t>
            </w:r>
          </w:p>
        </w:tc>
        <w:tc>
          <w:tcPr>
            <w:tcW w:w="1204" w:type="dxa"/>
            <w:vMerge w:val="restart"/>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lang w:val="en-US" w:eastAsia="zh-CN"/>
              </w:rPr>
              <w:t>采样</w:t>
            </w:r>
            <w:r>
              <w:rPr>
                <w:rFonts w:hint="default" w:ascii="Times New Roman" w:hAnsi="Times New Roman" w:eastAsia="宋体" w:cs="Times New Roman"/>
                <w:color w:val="auto"/>
                <w:sz w:val="24"/>
                <w:szCs w:val="24"/>
              </w:rPr>
              <w:t>点位</w:t>
            </w:r>
          </w:p>
        </w:tc>
        <w:tc>
          <w:tcPr>
            <w:tcW w:w="1195" w:type="dxa"/>
            <w:vMerge w:val="restart"/>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lang w:val="en-US" w:eastAsia="zh-CN"/>
              </w:rPr>
              <w:t>周期</w:t>
            </w:r>
          </w:p>
        </w:tc>
        <w:tc>
          <w:tcPr>
            <w:tcW w:w="1195" w:type="dxa"/>
            <w:vMerge w:val="restart"/>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rPr>
              <w:t>测次</w:t>
            </w:r>
          </w:p>
        </w:tc>
        <w:tc>
          <w:tcPr>
            <w:tcW w:w="1214" w:type="dxa"/>
            <w:vMerge w:val="restart"/>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标干流量</w:t>
            </w:r>
          </w:p>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lang w:val="en-US" w:eastAsia="zh-CN"/>
              </w:rPr>
              <w:t>(Nm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tc>
        <w:tc>
          <w:tcPr>
            <w:tcW w:w="2418" w:type="dxa"/>
            <w:gridSpan w:val="2"/>
            <w:vAlign w:val="center"/>
          </w:tcPr>
          <w:p>
            <w:pPr>
              <w:spacing w:line="240" w:lineRule="auto"/>
              <w:jc w:val="center"/>
              <w:rPr>
                <w:rFonts w:hint="default"/>
                <w:sz w:val="24"/>
                <w:szCs w:val="28"/>
                <w:vertAlign w:val="baseline"/>
              </w:rPr>
            </w:pPr>
            <w:r>
              <w:rPr>
                <w:rFonts w:hint="default" w:ascii="Times New Roman" w:hAnsi="Times New Roman" w:eastAsia="宋体" w:cs="Times New Roman"/>
                <w:b w:val="0"/>
                <w:bCs w:val="0"/>
                <w:color w:val="auto"/>
                <w:kern w:val="0"/>
                <w:sz w:val="24"/>
                <w:szCs w:val="24"/>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96" w:type="dxa"/>
            <w:vMerge w:val="continue"/>
            <w:vAlign w:val="center"/>
          </w:tcPr>
          <w:p>
            <w:pPr>
              <w:spacing w:line="240" w:lineRule="auto"/>
              <w:jc w:val="center"/>
              <w:rPr>
                <w:rFonts w:hint="default"/>
                <w:sz w:val="24"/>
                <w:szCs w:val="28"/>
                <w:vertAlign w:val="baseline"/>
              </w:rPr>
            </w:pPr>
          </w:p>
        </w:tc>
        <w:tc>
          <w:tcPr>
            <w:tcW w:w="1204" w:type="dxa"/>
            <w:vMerge w:val="continue"/>
            <w:vAlign w:val="center"/>
          </w:tcPr>
          <w:p>
            <w:pPr>
              <w:spacing w:line="240" w:lineRule="auto"/>
              <w:jc w:val="center"/>
              <w:rPr>
                <w:rFonts w:hint="default"/>
                <w:sz w:val="24"/>
                <w:szCs w:val="28"/>
                <w:vertAlign w:val="baseline"/>
              </w:rPr>
            </w:pPr>
          </w:p>
        </w:tc>
        <w:tc>
          <w:tcPr>
            <w:tcW w:w="1195" w:type="dxa"/>
            <w:vMerge w:val="continue"/>
            <w:vAlign w:val="center"/>
          </w:tcPr>
          <w:p>
            <w:pPr>
              <w:spacing w:line="240" w:lineRule="auto"/>
              <w:jc w:val="center"/>
              <w:rPr>
                <w:rFonts w:hint="default"/>
                <w:sz w:val="24"/>
                <w:szCs w:val="28"/>
                <w:vertAlign w:val="baseline"/>
              </w:rPr>
            </w:pPr>
          </w:p>
        </w:tc>
        <w:tc>
          <w:tcPr>
            <w:tcW w:w="1195" w:type="dxa"/>
            <w:vMerge w:val="continue"/>
            <w:vAlign w:val="center"/>
          </w:tcPr>
          <w:p>
            <w:pPr>
              <w:spacing w:line="240" w:lineRule="auto"/>
              <w:jc w:val="center"/>
              <w:rPr>
                <w:rFonts w:hint="default"/>
                <w:sz w:val="24"/>
                <w:szCs w:val="28"/>
                <w:vertAlign w:val="baseline"/>
              </w:rPr>
            </w:pPr>
          </w:p>
        </w:tc>
        <w:tc>
          <w:tcPr>
            <w:tcW w:w="1214" w:type="dxa"/>
            <w:vMerge w:val="continue"/>
            <w:vAlign w:val="center"/>
          </w:tcPr>
          <w:p>
            <w:pPr>
              <w:spacing w:line="240" w:lineRule="auto"/>
              <w:jc w:val="center"/>
              <w:rPr>
                <w:rFonts w:hint="default"/>
                <w:sz w:val="24"/>
                <w:szCs w:val="28"/>
                <w:vertAlign w:val="baseline"/>
              </w:rPr>
            </w:pPr>
          </w:p>
        </w:tc>
        <w:tc>
          <w:tcPr>
            <w:tcW w:w="1212" w:type="dxa"/>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rPr>
              <w:t>排放浓度</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p>
        </w:tc>
        <w:tc>
          <w:tcPr>
            <w:tcW w:w="1206" w:type="dxa"/>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lang w:val="en-US" w:eastAsia="zh-CN"/>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restart"/>
            <w:vAlign w:val="center"/>
          </w:tcPr>
          <w:p>
            <w:pPr>
              <w:widowControl/>
              <w:spacing w:line="240" w:lineRule="auto"/>
              <w:jc w:val="center"/>
              <w:rPr>
                <w:rFonts w:hint="default"/>
                <w:sz w:val="48"/>
                <w:szCs w:val="28"/>
                <w:vertAlign w:val="baseline"/>
                <w:lang w:val="en-US"/>
              </w:rPr>
            </w:pPr>
            <w:r>
              <w:rPr>
                <w:rFonts w:hint="default" w:ascii="Times New Roman" w:hAnsi="Times New Roman" w:eastAsia="宋体" w:cs="Times New Roman"/>
                <w:color w:val="auto"/>
                <w:kern w:val="0"/>
                <w:sz w:val="24"/>
                <w:szCs w:val="24"/>
                <w:lang w:val="en-US" w:eastAsia="zh-CN"/>
              </w:rPr>
              <w:t>2020.1</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01</w:t>
            </w:r>
          </w:p>
        </w:tc>
        <w:tc>
          <w:tcPr>
            <w:tcW w:w="1204" w:type="dxa"/>
            <w:vMerge w:val="restart"/>
            <w:vAlign w:val="center"/>
          </w:tcPr>
          <w:p>
            <w:pPr>
              <w:spacing w:line="240" w:lineRule="auto"/>
              <w:jc w:val="center"/>
              <w:rPr>
                <w:rFonts w:hint="default"/>
                <w:sz w:val="56"/>
                <w:szCs w:val="36"/>
                <w:vertAlign w:val="baseline"/>
              </w:rPr>
            </w:pPr>
            <w:r>
              <w:rPr>
                <w:rFonts w:hint="default" w:ascii="Times New Roman" w:hAnsi="Times New Roman" w:eastAsia="宋体" w:cs="Times New Roman"/>
                <w:color w:val="auto"/>
                <w:sz w:val="24"/>
                <w:szCs w:val="24"/>
                <w:highlight w:val="none"/>
                <w:lang w:val="en-US" w:eastAsia="zh-CN"/>
              </w:rPr>
              <w:t>袋式除尘器进口1</w:t>
            </w:r>
          </w:p>
        </w:tc>
        <w:tc>
          <w:tcPr>
            <w:tcW w:w="1195"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rPr>
              <w:t>Ⅰ</w:t>
            </w:r>
          </w:p>
        </w:tc>
        <w:tc>
          <w:tcPr>
            <w:tcW w:w="1195"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1</w:t>
            </w:r>
          </w:p>
        </w:tc>
        <w:tc>
          <w:tcPr>
            <w:tcW w:w="1214" w:type="dxa"/>
            <w:vAlign w:val="center"/>
          </w:tcPr>
          <w:p>
            <w:pPr>
              <w:keepNext w:val="0"/>
              <w:keepLines w:val="0"/>
              <w:widowControl/>
              <w:suppressLineNumbers w:val="0"/>
              <w:jc w:val="center"/>
              <w:textAlignment w:val="center"/>
              <w:rPr>
                <w:rFonts w:hint="default"/>
                <w:sz w:val="32"/>
                <w:szCs w:val="36"/>
                <w:vertAlign w:val="baseline"/>
              </w:rPr>
            </w:pPr>
            <w:r>
              <w:rPr>
                <w:rFonts w:hint="default" w:ascii="Times New Roman" w:hAnsi="Times New Roman" w:eastAsia="宋体" w:cs="Times New Roman"/>
                <w:i w:val="0"/>
                <w:color w:val="auto"/>
                <w:kern w:val="0"/>
                <w:sz w:val="24"/>
                <w:szCs w:val="24"/>
                <w:highlight w:val="none"/>
                <w:u w:val="none"/>
                <w:lang w:val="en-US" w:eastAsia="zh-CN" w:bidi="ar"/>
              </w:rPr>
              <w:t>2.46</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spacing w:line="240" w:lineRule="auto"/>
              <w:jc w:val="center"/>
              <w:rPr>
                <w:rFonts w:hint="default"/>
                <w:sz w:val="32"/>
                <w:szCs w:val="36"/>
                <w:vertAlign w:val="baseline"/>
              </w:rPr>
            </w:pPr>
            <w:r>
              <w:rPr>
                <w:rFonts w:hint="default" w:ascii="Times New Roman" w:hAnsi="Times New Roman" w:eastAsia="宋体" w:cs="Times New Roman"/>
                <w:color w:val="auto"/>
                <w:sz w:val="24"/>
                <w:szCs w:val="24"/>
                <w:highlight w:val="none"/>
                <w:lang w:val="en-US" w:eastAsia="zh-CN"/>
              </w:rPr>
              <w:t>139</w:t>
            </w:r>
          </w:p>
        </w:tc>
        <w:tc>
          <w:tcPr>
            <w:tcW w:w="1206" w:type="dxa"/>
            <w:vAlign w:val="center"/>
          </w:tcPr>
          <w:p>
            <w:pPr>
              <w:keepNext w:val="0"/>
              <w:keepLines w:val="0"/>
              <w:widowControl/>
              <w:suppressLineNumbers w:val="0"/>
              <w:jc w:val="center"/>
              <w:textAlignment w:val="center"/>
              <w:rPr>
                <w:rFonts w:hint="default"/>
                <w:sz w:val="32"/>
                <w:szCs w:val="36"/>
                <w:vertAlign w:val="baseline"/>
              </w:rPr>
            </w:pPr>
            <w:r>
              <w:rPr>
                <w:rFonts w:hint="default" w:ascii="Times New Roman" w:hAnsi="Times New Roman" w:eastAsia="宋体" w:cs="Times New Roman"/>
                <w:i w:val="0"/>
                <w:color w:val="auto"/>
                <w:kern w:val="0"/>
                <w:sz w:val="24"/>
                <w:szCs w:val="24"/>
                <w:highlight w:val="none"/>
                <w:u w:val="none"/>
                <w:lang w:val="en-US" w:eastAsia="zh-CN" w:bidi="ar"/>
              </w:rPr>
              <w:t>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8"/>
                <w:szCs w:val="28"/>
                <w:vertAlign w:val="baseline"/>
              </w:rPr>
            </w:pPr>
          </w:p>
        </w:tc>
        <w:tc>
          <w:tcPr>
            <w:tcW w:w="1204" w:type="dxa"/>
            <w:vMerge w:val="continue"/>
          </w:tcPr>
          <w:p>
            <w:pPr>
              <w:pStyle w:val="12"/>
              <w:rPr>
                <w:rFonts w:hint="default"/>
                <w:sz w:val="56"/>
                <w:szCs w:val="36"/>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2</w:t>
            </w:r>
          </w:p>
        </w:tc>
        <w:tc>
          <w:tcPr>
            <w:tcW w:w="1214" w:type="dxa"/>
            <w:vAlign w:val="center"/>
          </w:tcPr>
          <w:p>
            <w:pPr>
              <w:keepNext w:val="0"/>
              <w:keepLines w:val="0"/>
              <w:widowControl/>
              <w:suppressLineNumbers w:val="0"/>
              <w:jc w:val="center"/>
              <w:textAlignment w:val="center"/>
              <w:rPr>
                <w:rFonts w:hint="default"/>
                <w:sz w:val="32"/>
                <w:szCs w:val="36"/>
                <w:vertAlign w:val="baseline"/>
              </w:rPr>
            </w:pPr>
            <w:r>
              <w:rPr>
                <w:rFonts w:hint="default" w:ascii="Times New Roman" w:hAnsi="Times New Roman" w:eastAsia="宋体" w:cs="Times New Roman"/>
                <w:i w:val="0"/>
                <w:color w:val="auto"/>
                <w:kern w:val="0"/>
                <w:sz w:val="24"/>
                <w:szCs w:val="24"/>
                <w:highlight w:val="none"/>
                <w:u w:val="none"/>
                <w:lang w:val="en-US" w:eastAsia="zh-CN" w:bidi="ar"/>
              </w:rPr>
              <w:t>2.52</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spacing w:line="240" w:lineRule="auto"/>
              <w:jc w:val="center"/>
              <w:rPr>
                <w:rFonts w:hint="default"/>
                <w:sz w:val="32"/>
                <w:szCs w:val="36"/>
                <w:vertAlign w:val="baseline"/>
              </w:rPr>
            </w:pPr>
            <w:r>
              <w:rPr>
                <w:rFonts w:hint="default" w:ascii="Times New Roman" w:hAnsi="Times New Roman" w:eastAsia="宋体" w:cs="Times New Roman"/>
                <w:color w:val="auto"/>
                <w:sz w:val="24"/>
                <w:szCs w:val="24"/>
                <w:highlight w:val="none"/>
                <w:lang w:val="en-US" w:eastAsia="zh-CN"/>
              </w:rPr>
              <w:t>186</w:t>
            </w:r>
          </w:p>
        </w:tc>
        <w:tc>
          <w:tcPr>
            <w:tcW w:w="1206" w:type="dxa"/>
            <w:vAlign w:val="center"/>
          </w:tcPr>
          <w:p>
            <w:pPr>
              <w:keepNext w:val="0"/>
              <w:keepLines w:val="0"/>
              <w:widowControl/>
              <w:suppressLineNumbers w:val="0"/>
              <w:jc w:val="center"/>
              <w:textAlignment w:val="center"/>
              <w:rPr>
                <w:rFonts w:hint="default"/>
                <w:sz w:val="32"/>
                <w:szCs w:val="36"/>
                <w:vertAlign w:val="baseline"/>
              </w:rPr>
            </w:pPr>
            <w:r>
              <w:rPr>
                <w:rFonts w:hint="default" w:ascii="Times New Roman" w:hAnsi="Times New Roman" w:eastAsia="宋体" w:cs="Times New Roman"/>
                <w:i w:val="0"/>
                <w:color w:val="auto"/>
                <w:kern w:val="0"/>
                <w:sz w:val="24"/>
                <w:szCs w:val="24"/>
                <w:highlight w:val="none"/>
                <w:u w:val="none"/>
                <w:lang w:val="en-US" w:eastAsia="zh-CN" w:bidi="ar"/>
              </w:rPr>
              <w:t>0.469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8"/>
                <w:szCs w:val="28"/>
                <w:vertAlign w:val="baseline"/>
              </w:rPr>
            </w:pPr>
          </w:p>
        </w:tc>
        <w:tc>
          <w:tcPr>
            <w:tcW w:w="1204" w:type="dxa"/>
            <w:vMerge w:val="continue"/>
          </w:tcPr>
          <w:p>
            <w:pPr>
              <w:pStyle w:val="12"/>
              <w:rPr>
                <w:rFonts w:hint="default"/>
                <w:sz w:val="56"/>
                <w:szCs w:val="36"/>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3</w:t>
            </w:r>
          </w:p>
        </w:tc>
        <w:tc>
          <w:tcPr>
            <w:tcW w:w="1214" w:type="dxa"/>
            <w:vAlign w:val="center"/>
          </w:tcPr>
          <w:p>
            <w:pPr>
              <w:keepNext w:val="0"/>
              <w:keepLines w:val="0"/>
              <w:widowControl/>
              <w:suppressLineNumbers w:val="0"/>
              <w:jc w:val="center"/>
              <w:textAlignment w:val="center"/>
              <w:rPr>
                <w:rFonts w:hint="default"/>
                <w:sz w:val="32"/>
                <w:szCs w:val="36"/>
                <w:vertAlign w:val="baseline"/>
              </w:rPr>
            </w:pPr>
            <w:r>
              <w:rPr>
                <w:rFonts w:hint="default" w:ascii="Times New Roman" w:hAnsi="Times New Roman" w:eastAsia="宋体" w:cs="Times New Roman"/>
                <w:i w:val="0"/>
                <w:color w:val="auto"/>
                <w:kern w:val="0"/>
                <w:sz w:val="24"/>
                <w:szCs w:val="24"/>
                <w:highlight w:val="none"/>
                <w:u w:val="none"/>
                <w:lang w:val="en-US" w:eastAsia="zh-CN" w:bidi="ar"/>
              </w:rPr>
              <w:t>2.59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spacing w:line="240" w:lineRule="auto"/>
              <w:jc w:val="center"/>
              <w:rPr>
                <w:rFonts w:hint="default"/>
                <w:sz w:val="32"/>
                <w:szCs w:val="36"/>
                <w:vertAlign w:val="baseline"/>
              </w:rPr>
            </w:pPr>
            <w:r>
              <w:rPr>
                <w:rFonts w:hint="default" w:ascii="Times New Roman" w:hAnsi="Times New Roman" w:eastAsia="宋体" w:cs="Times New Roman"/>
                <w:color w:val="auto"/>
                <w:sz w:val="24"/>
                <w:szCs w:val="24"/>
                <w:highlight w:val="none"/>
                <w:lang w:val="en-US" w:eastAsia="zh-CN"/>
              </w:rPr>
              <w:t>165</w:t>
            </w:r>
          </w:p>
        </w:tc>
        <w:tc>
          <w:tcPr>
            <w:tcW w:w="1206" w:type="dxa"/>
            <w:vAlign w:val="center"/>
          </w:tcPr>
          <w:p>
            <w:pPr>
              <w:keepNext w:val="0"/>
              <w:keepLines w:val="0"/>
              <w:widowControl/>
              <w:suppressLineNumbers w:val="0"/>
              <w:jc w:val="center"/>
              <w:textAlignment w:val="center"/>
              <w:rPr>
                <w:rFonts w:hint="default"/>
                <w:sz w:val="32"/>
                <w:szCs w:val="36"/>
                <w:vertAlign w:val="baseline"/>
              </w:rPr>
            </w:pPr>
            <w:r>
              <w:rPr>
                <w:rFonts w:hint="default" w:ascii="Times New Roman" w:hAnsi="Times New Roman" w:eastAsia="宋体" w:cs="Times New Roman"/>
                <w:i w:val="0"/>
                <w:color w:val="auto"/>
                <w:kern w:val="0"/>
                <w:sz w:val="24"/>
                <w:szCs w:val="24"/>
                <w:highlight w:val="none"/>
                <w:u w:val="none"/>
                <w:lang w:val="en-US" w:eastAsia="zh-CN" w:bidi="ar"/>
              </w:rPr>
              <w:t>0.427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8"/>
                <w:szCs w:val="28"/>
                <w:vertAlign w:val="baseline"/>
              </w:rPr>
            </w:pPr>
          </w:p>
        </w:tc>
        <w:tc>
          <w:tcPr>
            <w:tcW w:w="1204" w:type="dxa"/>
            <w:vMerge w:val="continue"/>
          </w:tcPr>
          <w:p>
            <w:pPr>
              <w:pStyle w:val="12"/>
              <w:rPr>
                <w:rFonts w:hint="default"/>
                <w:sz w:val="56"/>
                <w:szCs w:val="36"/>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均值</w:t>
            </w:r>
          </w:p>
        </w:tc>
        <w:tc>
          <w:tcPr>
            <w:tcW w:w="1214" w:type="dxa"/>
            <w:vAlign w:val="center"/>
          </w:tcPr>
          <w:p>
            <w:pPr>
              <w:keepNext w:val="0"/>
              <w:keepLines w:val="0"/>
              <w:widowControl/>
              <w:suppressLineNumbers w:val="0"/>
              <w:jc w:val="center"/>
              <w:textAlignment w:val="center"/>
              <w:rPr>
                <w:rFonts w:hint="default"/>
                <w:sz w:val="32"/>
                <w:szCs w:val="36"/>
                <w:vertAlign w:val="baseline"/>
              </w:rPr>
            </w:pPr>
            <w:r>
              <w:rPr>
                <w:rFonts w:hint="default" w:ascii="Times New Roman" w:hAnsi="Times New Roman" w:eastAsia="宋体" w:cs="Times New Roman"/>
                <w:i w:val="0"/>
                <w:color w:val="auto"/>
                <w:kern w:val="0"/>
                <w:sz w:val="24"/>
                <w:szCs w:val="24"/>
                <w:highlight w:val="none"/>
                <w:u w:val="none"/>
                <w:lang w:val="en-US" w:eastAsia="zh-CN" w:bidi="ar"/>
              </w:rPr>
              <w:t>2.52</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sz w:val="32"/>
                <w:szCs w:val="36"/>
                <w:vertAlign w:val="baseline"/>
              </w:rPr>
            </w:pPr>
            <w:r>
              <w:rPr>
                <w:rFonts w:hint="default" w:ascii="Times New Roman" w:hAnsi="Times New Roman" w:eastAsia="宋体" w:cs="Times New Roman"/>
                <w:i w:val="0"/>
                <w:color w:val="auto"/>
                <w:kern w:val="0"/>
                <w:sz w:val="24"/>
                <w:szCs w:val="24"/>
                <w:highlight w:val="none"/>
                <w:u w:val="none"/>
                <w:lang w:val="en-US" w:eastAsia="zh-CN" w:bidi="ar"/>
              </w:rPr>
              <w:t>163</w:t>
            </w:r>
          </w:p>
        </w:tc>
        <w:tc>
          <w:tcPr>
            <w:tcW w:w="1206" w:type="dxa"/>
            <w:vAlign w:val="center"/>
          </w:tcPr>
          <w:p>
            <w:pPr>
              <w:keepNext w:val="0"/>
              <w:keepLines w:val="0"/>
              <w:widowControl/>
              <w:suppressLineNumbers w:val="0"/>
              <w:jc w:val="center"/>
              <w:textAlignment w:val="center"/>
              <w:rPr>
                <w:rFonts w:hint="default"/>
                <w:sz w:val="32"/>
                <w:szCs w:val="36"/>
                <w:vertAlign w:val="baseline"/>
              </w:rPr>
            </w:pPr>
            <w:r>
              <w:rPr>
                <w:rFonts w:hint="default" w:ascii="Times New Roman" w:hAnsi="Times New Roman" w:eastAsia="宋体" w:cs="Times New Roman"/>
                <w:i w:val="0"/>
                <w:color w:val="auto"/>
                <w:kern w:val="0"/>
                <w:sz w:val="24"/>
                <w:szCs w:val="24"/>
                <w:highlight w:val="none"/>
                <w:u w:val="none"/>
                <w:lang w:val="en-US" w:eastAsia="zh-CN" w:bidi="ar"/>
              </w:rPr>
              <w:t>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ascii="Times New Roman" w:hAnsi="Times New Roman" w:eastAsia="宋体" w:cs="Times New Roman"/>
                <w:sz w:val="48"/>
                <w:szCs w:val="28"/>
                <w:vertAlign w:val="baseline"/>
              </w:rPr>
            </w:pPr>
          </w:p>
        </w:tc>
        <w:tc>
          <w:tcPr>
            <w:tcW w:w="1204" w:type="dxa"/>
            <w:vMerge w:val="restart"/>
            <w:vAlign w:val="center"/>
          </w:tcPr>
          <w:p>
            <w:pPr>
              <w:spacing w:line="240" w:lineRule="auto"/>
              <w:jc w:val="center"/>
              <w:rPr>
                <w:rFonts w:hint="default" w:ascii="Times New Roman" w:hAnsi="Times New Roman" w:eastAsia="宋体" w:cs="Times New Roman"/>
                <w:sz w:val="56"/>
                <w:szCs w:val="36"/>
                <w:vertAlign w:val="baseline"/>
              </w:rPr>
            </w:pPr>
            <w:r>
              <w:rPr>
                <w:rFonts w:hint="default" w:ascii="Times New Roman" w:hAnsi="Times New Roman" w:eastAsia="宋体" w:cs="Times New Roman"/>
                <w:color w:val="auto"/>
                <w:sz w:val="24"/>
                <w:szCs w:val="24"/>
                <w:highlight w:val="none"/>
                <w:lang w:val="en-US" w:eastAsia="zh-CN"/>
              </w:rPr>
              <w:t>袋式除尘器进口2</w:t>
            </w:r>
          </w:p>
        </w:tc>
        <w:tc>
          <w:tcPr>
            <w:tcW w:w="1195" w:type="dxa"/>
            <w:vMerge w:val="restart"/>
            <w:vAlign w:val="center"/>
          </w:tcPr>
          <w:p>
            <w:pPr>
              <w:widowControl/>
              <w:spacing w:line="240" w:lineRule="auto"/>
              <w:jc w:val="center"/>
              <w:rPr>
                <w:rFonts w:hint="default" w:ascii="Times New Roman" w:hAnsi="Times New Roman" w:eastAsia="宋体" w:cs="Times New Roman"/>
                <w:sz w:val="48"/>
                <w:szCs w:val="28"/>
                <w:vertAlign w:val="baseline"/>
              </w:rPr>
            </w:pPr>
            <w:r>
              <w:rPr>
                <w:rFonts w:hint="default" w:ascii="Times New Roman" w:hAnsi="Times New Roman" w:eastAsia="宋体" w:cs="Times New Roman"/>
                <w:color w:val="auto"/>
                <w:kern w:val="0"/>
                <w:sz w:val="24"/>
                <w:szCs w:val="24"/>
              </w:rPr>
              <w:t>Ⅰ</w:t>
            </w:r>
          </w:p>
        </w:tc>
        <w:tc>
          <w:tcPr>
            <w:tcW w:w="1195"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1</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2.24</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sz w:val="24"/>
                <w:szCs w:val="24"/>
                <w:highlight w:val="none"/>
                <w:u w:val="none"/>
                <w:lang w:val="en-US" w:eastAsia="zh-CN" w:bidi="ar-SA"/>
              </w:rPr>
              <w:t>98.6</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ascii="Times New Roman" w:hAnsi="Times New Roman" w:eastAsia="宋体" w:cs="Times New Roman"/>
                <w:sz w:val="48"/>
                <w:szCs w:val="28"/>
                <w:vertAlign w:val="baseline"/>
              </w:rPr>
            </w:pPr>
          </w:p>
        </w:tc>
        <w:tc>
          <w:tcPr>
            <w:tcW w:w="1204" w:type="dxa"/>
            <w:vMerge w:val="continue"/>
          </w:tcPr>
          <w:p>
            <w:pPr>
              <w:pStyle w:val="12"/>
              <w:rPr>
                <w:rFonts w:hint="default" w:ascii="Times New Roman" w:hAnsi="Times New Roman" w:eastAsia="宋体" w:cs="Times New Roman"/>
                <w:sz w:val="56"/>
                <w:szCs w:val="36"/>
                <w:vertAlign w:val="baseline"/>
              </w:rPr>
            </w:pPr>
          </w:p>
        </w:tc>
        <w:tc>
          <w:tcPr>
            <w:tcW w:w="1195" w:type="dxa"/>
            <w:vMerge w:val="continue"/>
          </w:tcPr>
          <w:p>
            <w:pPr>
              <w:pStyle w:val="12"/>
              <w:rPr>
                <w:rFonts w:hint="default" w:ascii="Times New Roman" w:hAnsi="Times New Roman" w:eastAsia="宋体" w:cs="Times New Roman"/>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2</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2.29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sz w:val="24"/>
                <w:szCs w:val="24"/>
                <w:highlight w:val="none"/>
                <w:u w:val="none"/>
                <w:lang w:val="en-US" w:eastAsia="zh-CN" w:bidi="ar-SA"/>
              </w:rPr>
              <w:t>125</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ascii="Times New Roman" w:hAnsi="Times New Roman" w:eastAsia="宋体" w:cs="Times New Roman"/>
                <w:sz w:val="48"/>
                <w:szCs w:val="28"/>
                <w:vertAlign w:val="baseline"/>
              </w:rPr>
            </w:pPr>
          </w:p>
        </w:tc>
        <w:tc>
          <w:tcPr>
            <w:tcW w:w="1204" w:type="dxa"/>
            <w:vMerge w:val="continue"/>
          </w:tcPr>
          <w:p>
            <w:pPr>
              <w:pStyle w:val="12"/>
              <w:rPr>
                <w:rFonts w:hint="default" w:ascii="Times New Roman" w:hAnsi="Times New Roman" w:eastAsia="宋体" w:cs="Times New Roman"/>
                <w:sz w:val="56"/>
                <w:szCs w:val="36"/>
                <w:vertAlign w:val="baseline"/>
              </w:rPr>
            </w:pPr>
          </w:p>
        </w:tc>
        <w:tc>
          <w:tcPr>
            <w:tcW w:w="1195" w:type="dxa"/>
            <w:vMerge w:val="continue"/>
          </w:tcPr>
          <w:p>
            <w:pPr>
              <w:pStyle w:val="12"/>
              <w:rPr>
                <w:rFonts w:hint="default" w:ascii="Times New Roman" w:hAnsi="Times New Roman" w:eastAsia="宋体" w:cs="Times New Roman"/>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2.35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sz w:val="24"/>
                <w:szCs w:val="24"/>
                <w:highlight w:val="none"/>
                <w:u w:val="none"/>
                <w:lang w:val="en-US" w:eastAsia="zh-CN" w:bidi="ar-SA"/>
              </w:rPr>
              <w:t>137</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ascii="Times New Roman" w:hAnsi="Times New Roman" w:eastAsia="宋体" w:cs="Times New Roman"/>
                <w:sz w:val="48"/>
                <w:szCs w:val="28"/>
                <w:vertAlign w:val="baseline"/>
              </w:rPr>
            </w:pPr>
          </w:p>
        </w:tc>
        <w:tc>
          <w:tcPr>
            <w:tcW w:w="1204" w:type="dxa"/>
            <w:vMerge w:val="continue"/>
          </w:tcPr>
          <w:p>
            <w:pPr>
              <w:pStyle w:val="12"/>
              <w:rPr>
                <w:rFonts w:hint="default" w:ascii="Times New Roman" w:hAnsi="Times New Roman" w:eastAsia="宋体" w:cs="Times New Roman"/>
                <w:sz w:val="56"/>
                <w:szCs w:val="36"/>
                <w:vertAlign w:val="baseline"/>
              </w:rPr>
            </w:pPr>
          </w:p>
        </w:tc>
        <w:tc>
          <w:tcPr>
            <w:tcW w:w="1195" w:type="dxa"/>
            <w:vMerge w:val="continue"/>
          </w:tcPr>
          <w:p>
            <w:pPr>
              <w:pStyle w:val="12"/>
              <w:rPr>
                <w:rFonts w:hint="default" w:ascii="Times New Roman" w:hAnsi="Times New Roman" w:eastAsia="宋体" w:cs="Times New Roman"/>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均值</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2.29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120</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sz w:val="32"/>
                <w:szCs w:val="36"/>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0.275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8"/>
                <w:szCs w:val="28"/>
                <w:vertAlign w:val="baseline"/>
              </w:rPr>
            </w:pPr>
          </w:p>
        </w:tc>
        <w:tc>
          <w:tcPr>
            <w:tcW w:w="1204" w:type="dxa"/>
            <w:vMerge w:val="restart"/>
            <w:vAlign w:val="center"/>
          </w:tcPr>
          <w:p>
            <w:pPr>
              <w:spacing w:line="240" w:lineRule="auto"/>
              <w:jc w:val="center"/>
              <w:rPr>
                <w:rFonts w:hint="default"/>
                <w:sz w:val="56"/>
                <w:szCs w:val="36"/>
                <w:vertAlign w:val="baseline"/>
              </w:rPr>
            </w:pPr>
            <w:r>
              <w:rPr>
                <w:rFonts w:hint="default" w:ascii="Times New Roman" w:hAnsi="Times New Roman" w:eastAsia="宋体" w:cs="Times New Roman"/>
                <w:color w:val="auto"/>
                <w:sz w:val="24"/>
                <w:szCs w:val="24"/>
                <w:highlight w:val="none"/>
                <w:lang w:val="en-US" w:eastAsia="zh-CN"/>
              </w:rPr>
              <w:t>袋式除尘器出口</w:t>
            </w:r>
          </w:p>
        </w:tc>
        <w:tc>
          <w:tcPr>
            <w:tcW w:w="1195"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rPr>
              <w:t>Ⅰ</w:t>
            </w: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5.07</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6.3</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8"/>
                <w:szCs w:val="28"/>
                <w:vertAlign w:val="baseline"/>
              </w:rPr>
            </w:pPr>
          </w:p>
        </w:tc>
        <w:tc>
          <w:tcPr>
            <w:tcW w:w="1204" w:type="dxa"/>
            <w:vMerge w:val="continue"/>
          </w:tcPr>
          <w:p>
            <w:pPr>
              <w:pStyle w:val="12"/>
              <w:rPr>
                <w:rFonts w:hint="default"/>
                <w:sz w:val="48"/>
                <w:szCs w:val="28"/>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5.12</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7.6</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8"/>
                <w:szCs w:val="28"/>
                <w:vertAlign w:val="baseline"/>
              </w:rPr>
            </w:pPr>
          </w:p>
        </w:tc>
        <w:tc>
          <w:tcPr>
            <w:tcW w:w="1204" w:type="dxa"/>
            <w:vMerge w:val="continue"/>
          </w:tcPr>
          <w:p>
            <w:pPr>
              <w:pStyle w:val="12"/>
              <w:rPr>
                <w:rFonts w:hint="default"/>
                <w:sz w:val="48"/>
                <w:szCs w:val="28"/>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5.18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8.4</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8"/>
                <w:szCs w:val="28"/>
                <w:vertAlign w:val="baseline"/>
              </w:rPr>
            </w:pPr>
          </w:p>
        </w:tc>
        <w:tc>
          <w:tcPr>
            <w:tcW w:w="1204" w:type="dxa"/>
            <w:vMerge w:val="continue"/>
          </w:tcPr>
          <w:p>
            <w:pPr>
              <w:pStyle w:val="12"/>
              <w:rPr>
                <w:rFonts w:hint="default"/>
                <w:sz w:val="48"/>
                <w:szCs w:val="28"/>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均值</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5.12</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7.4</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restart"/>
            <w:vAlign w:val="center"/>
          </w:tcPr>
          <w:p>
            <w:pPr>
              <w:widowControl/>
              <w:spacing w:line="240" w:lineRule="auto"/>
              <w:jc w:val="center"/>
              <w:rPr>
                <w:rFonts w:hint="default"/>
                <w:sz w:val="48"/>
                <w:szCs w:val="28"/>
                <w:vertAlign w:val="baseline"/>
                <w:lang w:val="en-US"/>
              </w:rPr>
            </w:pPr>
            <w:r>
              <w:rPr>
                <w:rFonts w:hint="default" w:ascii="Times New Roman" w:hAnsi="Times New Roman" w:eastAsia="宋体" w:cs="Times New Roman"/>
                <w:color w:val="auto"/>
                <w:kern w:val="0"/>
                <w:sz w:val="24"/>
                <w:szCs w:val="24"/>
                <w:lang w:val="en-US" w:eastAsia="zh-CN"/>
              </w:rPr>
              <w:t>2020.1</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02</w:t>
            </w:r>
          </w:p>
        </w:tc>
        <w:tc>
          <w:tcPr>
            <w:tcW w:w="1204" w:type="dxa"/>
            <w:vMerge w:val="restart"/>
            <w:vAlign w:val="center"/>
          </w:tcPr>
          <w:p>
            <w:pPr>
              <w:spacing w:line="240" w:lineRule="auto"/>
              <w:jc w:val="center"/>
              <w:rPr>
                <w:rFonts w:hint="default"/>
                <w:sz w:val="56"/>
                <w:szCs w:val="36"/>
                <w:vertAlign w:val="baseline"/>
              </w:rPr>
            </w:pPr>
            <w:r>
              <w:rPr>
                <w:rFonts w:hint="default" w:ascii="Times New Roman" w:hAnsi="Times New Roman" w:eastAsia="宋体" w:cs="Times New Roman"/>
                <w:color w:val="auto"/>
                <w:sz w:val="24"/>
                <w:szCs w:val="24"/>
                <w:highlight w:val="none"/>
                <w:lang w:val="en-US" w:eastAsia="zh-CN"/>
              </w:rPr>
              <w:t>袋式除尘器进口1</w:t>
            </w:r>
          </w:p>
        </w:tc>
        <w:tc>
          <w:tcPr>
            <w:tcW w:w="1195"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lang w:val="en-US" w:eastAsia="zh-CN"/>
              </w:rPr>
              <w:t>Ⅱ</w:t>
            </w: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2.48</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spacing w:line="240" w:lineRule="auto"/>
              <w:jc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color w:val="auto"/>
                <w:sz w:val="24"/>
                <w:szCs w:val="24"/>
                <w:highlight w:val="none"/>
                <w:lang w:val="en-US" w:eastAsia="zh-CN" w:bidi="ar-SA"/>
              </w:rPr>
              <w:t>125</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0"/>
                <w:szCs w:val="22"/>
                <w:vertAlign w:val="baseline"/>
              </w:rPr>
            </w:pPr>
          </w:p>
        </w:tc>
        <w:tc>
          <w:tcPr>
            <w:tcW w:w="1204" w:type="dxa"/>
            <w:vMerge w:val="continue"/>
          </w:tcPr>
          <w:p>
            <w:pPr>
              <w:pStyle w:val="12"/>
              <w:rPr>
                <w:rFonts w:hint="default"/>
                <w:sz w:val="56"/>
                <w:szCs w:val="36"/>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2.54</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spacing w:line="240" w:lineRule="auto"/>
              <w:jc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color w:val="auto"/>
                <w:sz w:val="24"/>
                <w:szCs w:val="24"/>
                <w:highlight w:val="none"/>
                <w:lang w:val="en-US" w:eastAsia="zh-CN" w:bidi="ar-SA"/>
              </w:rPr>
              <w:t>173</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0"/>
                <w:szCs w:val="22"/>
                <w:vertAlign w:val="baseline"/>
              </w:rPr>
            </w:pPr>
          </w:p>
        </w:tc>
        <w:tc>
          <w:tcPr>
            <w:tcW w:w="1204" w:type="dxa"/>
            <w:vMerge w:val="continue"/>
          </w:tcPr>
          <w:p>
            <w:pPr>
              <w:pStyle w:val="12"/>
              <w:rPr>
                <w:rFonts w:hint="default"/>
                <w:sz w:val="56"/>
                <w:szCs w:val="36"/>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2.61</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spacing w:line="240" w:lineRule="auto"/>
              <w:jc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color w:val="auto"/>
                <w:sz w:val="24"/>
                <w:szCs w:val="24"/>
                <w:highlight w:val="none"/>
                <w:lang w:val="en-US" w:eastAsia="zh-CN" w:bidi="ar-SA"/>
              </w:rPr>
              <w:t>156</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0"/>
                <w:szCs w:val="22"/>
                <w:vertAlign w:val="baseline"/>
              </w:rPr>
            </w:pPr>
          </w:p>
        </w:tc>
        <w:tc>
          <w:tcPr>
            <w:tcW w:w="1204" w:type="dxa"/>
            <w:vMerge w:val="continue"/>
          </w:tcPr>
          <w:p>
            <w:pPr>
              <w:pStyle w:val="12"/>
              <w:rPr>
                <w:rFonts w:hint="default"/>
                <w:sz w:val="56"/>
                <w:szCs w:val="36"/>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均值</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2.54</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151</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0"/>
                <w:szCs w:val="22"/>
                <w:vertAlign w:val="baseline"/>
              </w:rPr>
            </w:pPr>
          </w:p>
        </w:tc>
        <w:tc>
          <w:tcPr>
            <w:tcW w:w="1204" w:type="dxa"/>
            <w:vMerge w:val="restart"/>
            <w:vAlign w:val="center"/>
          </w:tcPr>
          <w:p>
            <w:pPr>
              <w:spacing w:line="240" w:lineRule="auto"/>
              <w:jc w:val="center"/>
              <w:rPr>
                <w:rFonts w:hint="default"/>
                <w:sz w:val="56"/>
                <w:szCs w:val="36"/>
                <w:vertAlign w:val="baseline"/>
              </w:rPr>
            </w:pPr>
            <w:r>
              <w:rPr>
                <w:rFonts w:hint="default" w:ascii="Times New Roman" w:hAnsi="Times New Roman" w:eastAsia="宋体" w:cs="Times New Roman"/>
                <w:color w:val="auto"/>
                <w:sz w:val="24"/>
                <w:szCs w:val="24"/>
                <w:highlight w:val="none"/>
                <w:lang w:val="en-US" w:eastAsia="zh-CN"/>
              </w:rPr>
              <w:t>袋式除尘器进口2</w:t>
            </w:r>
          </w:p>
        </w:tc>
        <w:tc>
          <w:tcPr>
            <w:tcW w:w="1195"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lang w:val="en-US" w:eastAsia="zh-CN"/>
              </w:rPr>
              <w:t>Ⅱ</w:t>
            </w: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2.25</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103</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0"/>
                <w:szCs w:val="22"/>
                <w:vertAlign w:val="baseline"/>
              </w:rPr>
            </w:pPr>
          </w:p>
        </w:tc>
        <w:tc>
          <w:tcPr>
            <w:tcW w:w="1204" w:type="dxa"/>
            <w:vMerge w:val="continue"/>
          </w:tcPr>
          <w:p>
            <w:pPr>
              <w:pStyle w:val="12"/>
              <w:rPr>
                <w:rFonts w:hint="default"/>
                <w:sz w:val="56"/>
                <w:szCs w:val="36"/>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2.31</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133</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0"/>
                <w:szCs w:val="22"/>
                <w:vertAlign w:val="baseline"/>
              </w:rPr>
            </w:pPr>
          </w:p>
        </w:tc>
        <w:tc>
          <w:tcPr>
            <w:tcW w:w="1204" w:type="dxa"/>
            <w:vMerge w:val="continue"/>
          </w:tcPr>
          <w:p>
            <w:pPr>
              <w:pStyle w:val="12"/>
              <w:rPr>
                <w:rFonts w:hint="default"/>
                <w:sz w:val="56"/>
                <w:szCs w:val="36"/>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2.36</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114</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0"/>
                <w:szCs w:val="22"/>
                <w:vertAlign w:val="baseline"/>
              </w:rPr>
            </w:pPr>
          </w:p>
        </w:tc>
        <w:tc>
          <w:tcPr>
            <w:tcW w:w="1204" w:type="dxa"/>
            <w:vMerge w:val="continue"/>
          </w:tcPr>
          <w:p>
            <w:pPr>
              <w:pStyle w:val="12"/>
              <w:rPr>
                <w:rFonts w:hint="default"/>
                <w:sz w:val="56"/>
                <w:szCs w:val="36"/>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均值</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2.31</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117</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0"/>
                <w:szCs w:val="22"/>
                <w:vertAlign w:val="baseline"/>
              </w:rPr>
            </w:pPr>
          </w:p>
        </w:tc>
        <w:tc>
          <w:tcPr>
            <w:tcW w:w="1204" w:type="dxa"/>
            <w:vMerge w:val="restart"/>
            <w:vAlign w:val="center"/>
          </w:tcPr>
          <w:p>
            <w:pPr>
              <w:spacing w:line="240" w:lineRule="auto"/>
              <w:jc w:val="center"/>
              <w:rPr>
                <w:rFonts w:hint="default"/>
                <w:sz w:val="56"/>
                <w:szCs w:val="36"/>
                <w:vertAlign w:val="baseline"/>
              </w:rPr>
            </w:pPr>
            <w:r>
              <w:rPr>
                <w:rFonts w:hint="default" w:ascii="Times New Roman" w:hAnsi="Times New Roman" w:eastAsia="宋体" w:cs="Times New Roman"/>
                <w:color w:val="auto"/>
                <w:sz w:val="24"/>
                <w:szCs w:val="24"/>
                <w:highlight w:val="none"/>
                <w:lang w:val="en-US" w:eastAsia="zh-CN"/>
              </w:rPr>
              <w:t>袋式除尘器出口</w:t>
            </w:r>
          </w:p>
        </w:tc>
        <w:tc>
          <w:tcPr>
            <w:tcW w:w="1195"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lang w:val="en-US" w:eastAsia="zh-CN"/>
              </w:rPr>
              <w:t>Ⅱ</w:t>
            </w: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5.09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6.1</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0"/>
                <w:szCs w:val="22"/>
                <w:vertAlign w:val="baseline"/>
              </w:rPr>
            </w:pPr>
          </w:p>
        </w:tc>
        <w:tc>
          <w:tcPr>
            <w:tcW w:w="1204" w:type="dxa"/>
            <w:vMerge w:val="continue"/>
          </w:tcPr>
          <w:p>
            <w:pPr>
              <w:pStyle w:val="12"/>
              <w:rPr>
                <w:rFonts w:hint="default"/>
                <w:sz w:val="48"/>
                <w:szCs w:val="28"/>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5.14</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7.5</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0"/>
                <w:szCs w:val="22"/>
                <w:vertAlign w:val="baseline"/>
              </w:rPr>
            </w:pPr>
          </w:p>
        </w:tc>
        <w:tc>
          <w:tcPr>
            <w:tcW w:w="1204" w:type="dxa"/>
            <w:vMerge w:val="continue"/>
          </w:tcPr>
          <w:p>
            <w:pPr>
              <w:pStyle w:val="12"/>
              <w:rPr>
                <w:rFonts w:hint="default"/>
                <w:sz w:val="48"/>
                <w:szCs w:val="28"/>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5.19</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sz w:val="24"/>
                <w:szCs w:val="24"/>
                <w:highlight w:val="none"/>
                <w:u w:val="none"/>
                <w:lang w:val="en-US" w:eastAsia="zh-CN" w:bidi="ar-SA"/>
              </w:rPr>
              <w:t>8.2</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96" w:type="dxa"/>
            <w:vMerge w:val="continue"/>
          </w:tcPr>
          <w:p>
            <w:pPr>
              <w:pStyle w:val="12"/>
              <w:rPr>
                <w:rFonts w:hint="default"/>
                <w:sz w:val="40"/>
                <w:szCs w:val="22"/>
                <w:vertAlign w:val="baseline"/>
              </w:rPr>
            </w:pPr>
          </w:p>
        </w:tc>
        <w:tc>
          <w:tcPr>
            <w:tcW w:w="1204" w:type="dxa"/>
            <w:vMerge w:val="continue"/>
          </w:tcPr>
          <w:p>
            <w:pPr>
              <w:pStyle w:val="12"/>
              <w:rPr>
                <w:rFonts w:hint="default"/>
                <w:sz w:val="48"/>
                <w:szCs w:val="28"/>
                <w:vertAlign w:val="baseline"/>
              </w:rPr>
            </w:pPr>
          </w:p>
        </w:tc>
        <w:tc>
          <w:tcPr>
            <w:tcW w:w="1195" w:type="dxa"/>
            <w:vMerge w:val="continue"/>
          </w:tcPr>
          <w:p>
            <w:pPr>
              <w:pStyle w:val="12"/>
              <w:rPr>
                <w:rFonts w:hint="default"/>
                <w:sz w:val="48"/>
                <w:szCs w:val="28"/>
                <w:vertAlign w:val="baseline"/>
              </w:rPr>
            </w:pPr>
          </w:p>
        </w:tc>
        <w:tc>
          <w:tcPr>
            <w:tcW w:w="1195"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均值</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5.14</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3</w:t>
            </w:r>
          </w:p>
        </w:tc>
        <w:tc>
          <w:tcPr>
            <w:tcW w:w="12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32"/>
                <w:szCs w:val="32"/>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7.3</w:t>
            </w:r>
          </w:p>
        </w:tc>
        <w:tc>
          <w:tcPr>
            <w:tcW w:w="1206"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32"/>
                <w:szCs w:val="32"/>
                <w:u w:val="none"/>
                <w:lang w:val="en-US" w:eastAsia="zh-CN" w:bidi="ar"/>
              </w:rPr>
            </w:pPr>
            <w:r>
              <w:rPr>
                <w:rFonts w:hint="default" w:ascii="Times New Roman" w:hAnsi="Times New Roman" w:eastAsia="宋体" w:cs="Times New Roman"/>
                <w:i w:val="0"/>
                <w:color w:val="auto"/>
                <w:kern w:val="0"/>
                <w:sz w:val="24"/>
                <w:szCs w:val="24"/>
                <w:highlight w:val="none"/>
                <w:u w:val="none"/>
                <w:lang w:val="en-US" w:eastAsia="zh-CN" w:bidi="ar"/>
              </w:rPr>
              <w:t>0.038</w:t>
            </w:r>
          </w:p>
        </w:tc>
      </w:tr>
    </w:tbl>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根据上表可知，</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有组织废气经</w:t>
      </w:r>
      <w:r>
        <w:rPr>
          <w:rFonts w:hint="eastAsia"/>
          <w:b w:val="0"/>
          <w:bCs w:val="0"/>
          <w:color w:val="000000" w:themeColor="text1"/>
          <w:sz w:val="28"/>
          <w:szCs w:val="28"/>
          <w:highlight w:val="none"/>
          <w:vertAlign w:val="baseline"/>
          <w:lang w:val="en-US" w:eastAsia="zh-CN"/>
          <w14:textFill>
            <w14:solidFill>
              <w14:schemeClr w14:val="tx1"/>
            </w14:solidFill>
          </w14:textFill>
        </w:rPr>
        <w:t>袋式除尘器+</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15m高排气筒排放</w:t>
      </w:r>
      <w:r>
        <w:rPr>
          <w:rFonts w:hint="eastAsia"/>
          <w:b w:val="0"/>
          <w:bCs w:val="0"/>
          <w:color w:val="000000" w:themeColor="text1"/>
          <w:sz w:val="28"/>
          <w:szCs w:val="28"/>
          <w:highlight w:val="none"/>
          <w:vertAlign w:val="baseline"/>
          <w:lang w:val="en-US" w:eastAsia="zh-CN"/>
          <w14:textFill>
            <w14:solidFill>
              <w14:schemeClr w14:val="tx1"/>
            </w14:solidFill>
          </w14:textFill>
        </w:rPr>
        <w:t>后最大排放</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浓度为8.4mg/m</w:t>
      </w:r>
      <w:r>
        <w:rPr>
          <w:rFonts w:hint="eastAsia" w:hAnsi="宋体"/>
          <w:b w:val="0"/>
          <w:bCs w:val="0"/>
          <w:color w:val="000000" w:themeColor="text1"/>
          <w:sz w:val="28"/>
          <w:szCs w:val="28"/>
          <w:highlight w:val="none"/>
          <w:vertAlign w:val="superscript"/>
          <w:lang w:val="en-US" w:eastAsia="zh-CN"/>
          <w14:textFill>
            <w14:solidFill>
              <w14:schemeClr w14:val="tx1"/>
            </w14:solidFill>
          </w14:textFill>
        </w:rPr>
        <w:t>3</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最大排放速率为0.044kg/h能</w:t>
      </w:r>
      <w:r>
        <w:rPr>
          <w:rFonts w:hint="eastAsia"/>
          <w:b w:val="0"/>
          <w:bCs w:val="0"/>
          <w:color w:val="000000" w:themeColor="text1"/>
          <w:sz w:val="28"/>
          <w:szCs w:val="28"/>
          <w:highlight w:val="none"/>
          <w:vertAlign w:val="baseline"/>
          <w:lang w:val="en-US" w:eastAsia="zh-CN"/>
          <w14:textFill>
            <w14:solidFill>
              <w14:schemeClr w14:val="tx1"/>
            </w14:solidFill>
          </w14:textFill>
        </w:rPr>
        <w:t>满足《新乡市生态环境局关于进一步规范工业企业颗粒物排放限值的通知》颗粒物有组织排放浓度限值（10mg/m</w:t>
      </w:r>
      <w:r>
        <w:rPr>
          <w:rFonts w:hint="eastAsia"/>
          <w:b w:val="0"/>
          <w:bCs w:val="0"/>
          <w:color w:val="000000" w:themeColor="text1"/>
          <w:sz w:val="28"/>
          <w:szCs w:val="28"/>
          <w:highlight w:val="none"/>
          <w:vertAlign w:val="superscript"/>
          <w:lang w:val="en-US" w:eastAsia="zh-CN"/>
          <w14:textFill>
            <w14:solidFill>
              <w14:schemeClr w14:val="tx1"/>
            </w14:solidFill>
          </w14:textFill>
        </w:rPr>
        <w:t>3</w:t>
      </w:r>
      <w:r>
        <w:rPr>
          <w:rFonts w:hint="eastAsia"/>
          <w:b w:val="0"/>
          <w:bCs w:val="0"/>
          <w:color w:val="000000" w:themeColor="text1"/>
          <w:sz w:val="28"/>
          <w:szCs w:val="28"/>
          <w:highlight w:val="none"/>
          <w:vertAlign w:val="baseline"/>
          <w:lang w:val="en-US" w:eastAsia="zh-CN"/>
          <w14:textFill>
            <w14:solidFill>
              <w14:schemeClr w14:val="tx1"/>
            </w14:solidFill>
          </w14:textFill>
        </w:rPr>
        <w:t>）要求 和《大气污染物综合排放标准》（</w:t>
      </w:r>
      <w:r>
        <w:rPr>
          <w:rFonts w:hint="default" w:ascii="Times New Roman" w:hAnsi="Times New Roman" w:eastAsia="宋体" w:cs="Times New Roman"/>
          <w:color w:val="auto"/>
          <w:sz w:val="28"/>
          <w:szCs w:val="28"/>
          <w:highlight w:val="none"/>
          <w:lang w:val="en-US" w:eastAsia="zh-CN"/>
        </w:rPr>
        <w:t>GB16297-1996</w:t>
      </w:r>
      <w:r>
        <w:rPr>
          <w:rFonts w:hint="eastAsia"/>
          <w:b w:val="0"/>
          <w:bCs w:val="0"/>
          <w:color w:val="000000" w:themeColor="text1"/>
          <w:sz w:val="28"/>
          <w:szCs w:val="28"/>
          <w:highlight w:val="none"/>
          <w:vertAlign w:val="baseline"/>
          <w:lang w:val="en-US" w:eastAsia="zh-CN"/>
          <w14:textFill>
            <w14:solidFill>
              <w14:schemeClr w14:val="tx1"/>
            </w14:solidFill>
          </w14:textFill>
        </w:rPr>
        <w:t>）</w:t>
      </w:r>
      <w:r>
        <w:rPr>
          <w:rFonts w:hint="default"/>
          <w:b w:val="0"/>
          <w:bCs w:val="0"/>
          <w:color w:val="000000" w:themeColor="text1"/>
          <w:sz w:val="28"/>
          <w:szCs w:val="28"/>
          <w:highlight w:val="none"/>
          <w:vertAlign w:val="baseline"/>
          <w:lang w:val="en-US" w:eastAsia="zh-CN"/>
          <w14:textFill>
            <w14:solidFill>
              <w14:schemeClr w14:val="tx1"/>
            </w14:solidFill>
          </w14:textFill>
        </w:rPr>
        <w:t>15m</w:t>
      </w:r>
      <w:r>
        <w:rPr>
          <w:rFonts w:hint="eastAsia"/>
          <w:b w:val="0"/>
          <w:bCs w:val="0"/>
          <w:color w:val="000000" w:themeColor="text1"/>
          <w:sz w:val="28"/>
          <w:szCs w:val="28"/>
          <w:highlight w:val="none"/>
          <w:vertAlign w:val="baseline"/>
          <w:lang w:val="en-US" w:eastAsia="zh-CN"/>
          <w14:textFill>
            <w14:solidFill>
              <w14:schemeClr w14:val="tx1"/>
            </w14:solidFill>
          </w14:textFill>
        </w:rPr>
        <w:t>排气筒最高允许排放速率（</w:t>
      </w:r>
      <w:r>
        <w:rPr>
          <w:rFonts w:hint="default"/>
          <w:b w:val="0"/>
          <w:bCs w:val="0"/>
          <w:color w:val="000000" w:themeColor="text1"/>
          <w:sz w:val="28"/>
          <w:szCs w:val="28"/>
          <w:highlight w:val="none"/>
          <w:vertAlign w:val="baseline"/>
          <w:lang w:val="en-US" w:eastAsia="zh-CN"/>
          <w14:textFill>
            <w14:solidFill>
              <w14:schemeClr w14:val="tx1"/>
            </w14:solidFill>
          </w14:textFill>
        </w:rPr>
        <w:t>3.5kg/h</w:t>
      </w:r>
      <w:r>
        <w:rPr>
          <w:rFonts w:hint="eastAsia"/>
          <w:b w:val="0"/>
          <w:bCs w:val="0"/>
          <w:color w:val="000000" w:themeColor="text1"/>
          <w:sz w:val="28"/>
          <w:szCs w:val="28"/>
          <w:highlight w:val="none"/>
          <w:vertAlign w:val="baseline"/>
          <w:lang w:val="en-US" w:eastAsia="zh-CN"/>
          <w14:textFill>
            <w14:solidFill>
              <w14:schemeClr w14:val="tx1"/>
            </w14:solidFill>
          </w14:textFill>
        </w:rPr>
        <w:t>）的要求</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w:t>
      </w:r>
    </w:p>
    <w:p>
      <w:pPr>
        <w:numPr>
          <w:ilvl w:val="0"/>
          <w:numId w:val="1"/>
        </w:numP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无组织废气监测结果</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无组织废气监测结果</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见表</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15。</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表15</w:t>
      </w:r>
      <w:r>
        <w:rPr>
          <w:rFonts w:hint="eastAsia" w:cs="Times New Roman"/>
          <w:b w:val="0"/>
          <w:bCs w:val="0"/>
          <w:color w:val="000000" w:themeColor="text1"/>
          <w:kern w:val="2"/>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 xml:space="preserve"> 无组织废气检测结果</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40"/>
        <w:gridCol w:w="1420"/>
        <w:gridCol w:w="14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采样</w:t>
            </w:r>
            <w:r>
              <w:rPr>
                <w:rFonts w:hint="default" w:ascii="Times New Roman" w:hAnsi="Times New Roman" w:eastAsia="宋体" w:cs="Times New Roman"/>
                <w:kern w:val="0"/>
                <w:sz w:val="24"/>
                <w:szCs w:val="24"/>
              </w:rPr>
              <w:t>日期</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时间</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采样</w:t>
            </w:r>
            <w:r>
              <w:rPr>
                <w:rFonts w:hint="default" w:ascii="Times New Roman" w:hAnsi="Times New Roman" w:eastAsia="宋体" w:cs="Times New Roman"/>
                <w:kern w:val="0"/>
                <w:sz w:val="24"/>
                <w:szCs w:val="24"/>
              </w:rPr>
              <w:t>点位</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颗粒物(mg/m</w:t>
            </w:r>
            <w:r>
              <w:rPr>
                <w:rFonts w:hint="default" w:ascii="Times New Roman" w:hAnsi="Times New Roman" w:eastAsia="宋体" w:cs="Times New Roman"/>
                <w:kern w:val="0"/>
                <w:sz w:val="24"/>
                <w:szCs w:val="24"/>
                <w:vertAlign w:val="superscript"/>
                <w:lang w:val="en-US" w:eastAsia="zh-CN"/>
              </w:rPr>
              <w:t>3</w:t>
            </w:r>
            <w:r>
              <w:rPr>
                <w:rFonts w:hint="default" w:ascii="Times New Roman" w:hAnsi="Times New Roman" w:eastAsia="宋体" w:cs="Times New Roman"/>
                <w:kern w:val="0"/>
                <w:sz w:val="24"/>
                <w:szCs w:val="24"/>
                <w:lang w:val="en-US" w:eastAsia="zh-CN"/>
              </w:rPr>
              <w:t>)</w:t>
            </w:r>
          </w:p>
        </w:tc>
        <w:tc>
          <w:tcPr>
            <w:tcW w:w="2474"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restart"/>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2020.1</w:t>
            </w:r>
            <w:r>
              <w:rPr>
                <w:rFonts w:hint="eastAsia"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01</w:t>
            </w:r>
          </w:p>
        </w:tc>
        <w:tc>
          <w:tcPr>
            <w:tcW w:w="1420" w:type="dxa"/>
            <w:vMerge w:val="restart"/>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08:00~09:00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0.193</w:t>
            </w:r>
          </w:p>
        </w:tc>
        <w:tc>
          <w:tcPr>
            <w:tcW w:w="2474" w:type="dxa"/>
            <w:vMerge w:val="restart"/>
            <w:vAlign w:val="center"/>
          </w:tcPr>
          <w:p>
            <w:pPr>
              <w:widowControl/>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多云</w:t>
            </w:r>
            <w:r>
              <w:rPr>
                <w:rFonts w:hint="default" w:ascii="Times New Roman" w:hAnsi="Times New Roman" w:eastAsia="宋体" w:cs="Times New Roman"/>
                <w:kern w:val="0"/>
                <w:sz w:val="24"/>
                <w:szCs w:val="24"/>
                <w:lang w:val="en-US" w:eastAsia="zh-CN"/>
              </w:rPr>
              <w:t>，气温</w:t>
            </w:r>
          </w:p>
          <w:p>
            <w:pPr>
              <w:widowControl/>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13.6</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17.3</w:t>
            </w:r>
            <w:r>
              <w:rPr>
                <w:rFonts w:hint="default" w:ascii="Times New Roman" w:hAnsi="Times New Roman" w:eastAsia="宋体" w:cs="Times New Roman"/>
                <w:kern w:val="0"/>
                <w:sz w:val="24"/>
                <w:szCs w:val="24"/>
                <w:lang w:val="en-US" w:eastAsia="zh-CN"/>
              </w:rPr>
              <w:t>℃，</w:t>
            </w:r>
          </w:p>
          <w:p>
            <w:pPr>
              <w:widowControl/>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气压</w:t>
            </w:r>
            <w:r>
              <w:rPr>
                <w:rFonts w:hint="eastAsia" w:ascii="Times New Roman" w:hAnsi="Times New Roman" w:eastAsia="宋体" w:cs="Times New Roman"/>
                <w:kern w:val="0"/>
                <w:sz w:val="24"/>
                <w:szCs w:val="24"/>
                <w:lang w:val="en-US" w:eastAsia="zh-CN"/>
              </w:rPr>
              <w:t>100.5</w:t>
            </w:r>
            <w:r>
              <w:rPr>
                <w:rFonts w:hint="default" w:ascii="Times New Roman" w:hAnsi="Times New Roman" w:eastAsia="宋体" w:cs="Times New Roman"/>
                <w:kern w:val="0"/>
                <w:sz w:val="24"/>
                <w:szCs w:val="24"/>
                <w:lang w:val="en-US" w:eastAsia="zh-CN"/>
              </w:rPr>
              <w:t>kPa~</w:t>
            </w:r>
            <w:r>
              <w:rPr>
                <w:rFonts w:hint="eastAsia" w:ascii="Times New Roman" w:hAnsi="Times New Roman" w:eastAsia="宋体" w:cs="Times New Roman"/>
                <w:kern w:val="0"/>
                <w:sz w:val="24"/>
                <w:szCs w:val="24"/>
                <w:lang w:val="en-US" w:eastAsia="zh-CN"/>
              </w:rPr>
              <w:t>100.8</w:t>
            </w:r>
            <w:r>
              <w:rPr>
                <w:rFonts w:hint="default" w:ascii="Times New Roman" w:hAnsi="Times New Roman" w:eastAsia="宋体" w:cs="Times New Roman"/>
                <w:kern w:val="0"/>
                <w:sz w:val="24"/>
                <w:szCs w:val="24"/>
                <w:lang w:val="en-US" w:eastAsia="zh-CN"/>
              </w:rPr>
              <w:t>kPa，</w:t>
            </w:r>
          </w:p>
          <w:p>
            <w:pPr>
              <w:widowControl/>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西北</w:t>
            </w:r>
            <w:r>
              <w:rPr>
                <w:rFonts w:hint="default" w:ascii="Times New Roman" w:hAnsi="Times New Roman" w:eastAsia="宋体" w:cs="Times New Roman"/>
                <w:kern w:val="0"/>
                <w:sz w:val="24"/>
                <w:szCs w:val="24"/>
                <w:lang w:val="en-US" w:eastAsia="zh-CN"/>
              </w:rPr>
              <w:t>风，风速</w:t>
            </w:r>
          </w:p>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eastAsia" w:ascii="Times New Roman" w:hAnsi="Times New Roman" w:eastAsia="宋体" w:cs="Times New Roman"/>
                <w:kern w:val="0"/>
                <w:sz w:val="24"/>
                <w:szCs w:val="24"/>
                <w:lang w:val="en-US" w:eastAsia="zh-CN"/>
              </w:rPr>
              <w:t>1.7</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2.6</w:t>
            </w:r>
            <w:r>
              <w:rPr>
                <w:rFonts w:hint="default" w:ascii="Times New Roman" w:hAnsi="Times New Roman" w:eastAsia="宋体" w:cs="Times New Roman"/>
                <w:kern w:val="0"/>
                <w:sz w:val="24"/>
                <w:szCs w:val="24"/>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color w:val="auto"/>
                <w:kern w:val="0"/>
                <w:sz w:val="24"/>
                <w:szCs w:val="24"/>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0.299</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color w:val="auto"/>
                <w:kern w:val="0"/>
                <w:sz w:val="24"/>
                <w:szCs w:val="24"/>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0.264</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color w:val="auto"/>
                <w:kern w:val="0"/>
                <w:sz w:val="24"/>
                <w:szCs w:val="24"/>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0.281</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restart"/>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09:30~10:30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0.213</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color w:val="auto"/>
                <w:kern w:val="0"/>
                <w:sz w:val="24"/>
                <w:szCs w:val="24"/>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0.302</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color w:val="auto"/>
                <w:kern w:val="0"/>
                <w:sz w:val="24"/>
                <w:szCs w:val="24"/>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0.284</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color w:val="auto"/>
                <w:kern w:val="0"/>
                <w:sz w:val="24"/>
                <w:szCs w:val="24"/>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0.320</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restart"/>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11:00~12:00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0.214</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0.286</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0.304</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0.322</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restart"/>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2020.1</w:t>
            </w:r>
            <w:r>
              <w:rPr>
                <w:rFonts w:hint="eastAsia"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02</w:t>
            </w:r>
          </w:p>
        </w:tc>
        <w:tc>
          <w:tcPr>
            <w:tcW w:w="1420" w:type="dxa"/>
            <w:vMerge w:val="restart"/>
            <w:vAlign w:val="center"/>
          </w:tcPr>
          <w:p>
            <w:pPr>
              <w:jc w:val="center"/>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cs="Times New Roman"/>
                <w:color w:val="auto"/>
                <w:sz w:val="24"/>
                <w:szCs w:val="24"/>
                <w:highlight w:val="none"/>
                <w:lang w:val="en-US" w:eastAsia="zh-CN"/>
              </w:rPr>
              <w:t>08:00~09:00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0.194</w:t>
            </w:r>
          </w:p>
        </w:tc>
        <w:tc>
          <w:tcPr>
            <w:tcW w:w="2474" w:type="dxa"/>
            <w:vMerge w:val="restart"/>
            <w:vAlign w:val="center"/>
          </w:tcPr>
          <w:p>
            <w:pPr>
              <w:widowControl/>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多云</w:t>
            </w:r>
            <w:r>
              <w:rPr>
                <w:rFonts w:hint="default" w:ascii="Times New Roman" w:hAnsi="Times New Roman" w:eastAsia="宋体" w:cs="Times New Roman"/>
                <w:kern w:val="0"/>
                <w:sz w:val="24"/>
                <w:szCs w:val="24"/>
                <w:lang w:val="en-US" w:eastAsia="zh-CN"/>
              </w:rPr>
              <w:t>，气温</w:t>
            </w:r>
          </w:p>
          <w:p>
            <w:pPr>
              <w:widowControl/>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14.5</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18.5</w:t>
            </w:r>
            <w:r>
              <w:rPr>
                <w:rFonts w:hint="default" w:ascii="Times New Roman" w:hAnsi="Times New Roman" w:eastAsia="宋体" w:cs="Times New Roman"/>
                <w:kern w:val="0"/>
                <w:sz w:val="24"/>
                <w:szCs w:val="24"/>
                <w:lang w:val="en-US" w:eastAsia="zh-CN"/>
              </w:rPr>
              <w:t>℃，</w:t>
            </w:r>
          </w:p>
          <w:p>
            <w:pPr>
              <w:widowControl/>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气压</w:t>
            </w:r>
            <w:r>
              <w:rPr>
                <w:rFonts w:hint="eastAsia" w:ascii="Times New Roman" w:hAnsi="Times New Roman" w:eastAsia="宋体" w:cs="Times New Roman"/>
                <w:kern w:val="0"/>
                <w:sz w:val="24"/>
                <w:szCs w:val="24"/>
                <w:lang w:val="en-US" w:eastAsia="zh-CN"/>
              </w:rPr>
              <w:t>100.4</w:t>
            </w:r>
            <w:r>
              <w:rPr>
                <w:rFonts w:hint="default" w:ascii="Times New Roman" w:hAnsi="Times New Roman" w:eastAsia="宋体" w:cs="Times New Roman"/>
                <w:kern w:val="0"/>
                <w:sz w:val="24"/>
                <w:szCs w:val="24"/>
                <w:lang w:val="en-US" w:eastAsia="zh-CN"/>
              </w:rPr>
              <w:t>kPa~</w:t>
            </w:r>
            <w:r>
              <w:rPr>
                <w:rFonts w:hint="eastAsia" w:ascii="Times New Roman" w:hAnsi="Times New Roman" w:eastAsia="宋体" w:cs="Times New Roman"/>
                <w:kern w:val="0"/>
                <w:sz w:val="24"/>
                <w:szCs w:val="24"/>
                <w:lang w:val="en-US" w:eastAsia="zh-CN"/>
              </w:rPr>
              <w:t>100.7</w:t>
            </w:r>
            <w:r>
              <w:rPr>
                <w:rFonts w:hint="default" w:ascii="Times New Roman" w:hAnsi="Times New Roman" w:eastAsia="宋体" w:cs="Times New Roman"/>
                <w:kern w:val="0"/>
                <w:sz w:val="24"/>
                <w:szCs w:val="24"/>
                <w:lang w:val="en-US" w:eastAsia="zh-CN"/>
              </w:rPr>
              <w:t>kPa，</w:t>
            </w:r>
          </w:p>
          <w:p>
            <w:pPr>
              <w:widowControl/>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北</w:t>
            </w:r>
            <w:r>
              <w:rPr>
                <w:rFonts w:hint="default" w:ascii="Times New Roman" w:hAnsi="Times New Roman" w:eastAsia="宋体" w:cs="Times New Roman"/>
                <w:kern w:val="0"/>
                <w:sz w:val="24"/>
                <w:szCs w:val="24"/>
                <w:lang w:val="en-US" w:eastAsia="zh-CN"/>
              </w:rPr>
              <w:t>风，风速</w:t>
            </w:r>
          </w:p>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eastAsia" w:ascii="Times New Roman" w:hAnsi="Times New Roman" w:eastAsia="宋体" w:cs="Times New Roman"/>
                <w:kern w:val="0"/>
                <w:sz w:val="24"/>
                <w:szCs w:val="24"/>
                <w:lang w:val="en-US" w:eastAsia="zh-CN"/>
              </w:rPr>
              <w:t>1.1</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2.9</w:t>
            </w:r>
            <w:r>
              <w:rPr>
                <w:rFonts w:hint="default" w:ascii="Times New Roman" w:hAnsi="Times New Roman" w:eastAsia="宋体" w:cs="Times New Roman"/>
                <w:kern w:val="0"/>
                <w:sz w:val="24"/>
                <w:szCs w:val="24"/>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40"/>
                <w:szCs w:val="40"/>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0.283</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40"/>
                <w:szCs w:val="40"/>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0.300</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40"/>
                <w:szCs w:val="40"/>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0.265</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restart"/>
            <w:vAlign w:val="center"/>
          </w:tcPr>
          <w:p>
            <w:pPr>
              <w:jc w:val="center"/>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cs="Times New Roman"/>
                <w:color w:val="auto"/>
                <w:sz w:val="24"/>
                <w:szCs w:val="24"/>
                <w:highlight w:val="none"/>
                <w:lang w:val="en-US" w:eastAsia="zh-CN"/>
              </w:rPr>
              <w:t>09:30~10:30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0.232</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40"/>
                <w:szCs w:val="40"/>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0.303</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40"/>
                <w:szCs w:val="40"/>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0.321</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40"/>
                <w:szCs w:val="40"/>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0.285</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restart"/>
            <w:vAlign w:val="center"/>
          </w:tcPr>
          <w:p>
            <w:pPr>
              <w:jc w:val="center"/>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cs="Times New Roman"/>
                <w:color w:val="auto"/>
                <w:sz w:val="24"/>
                <w:szCs w:val="24"/>
                <w:highlight w:val="none"/>
                <w:lang w:val="en-US" w:eastAsia="zh-CN"/>
              </w:rPr>
              <w:t>11:00~12:00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0.216</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0.323</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0.287</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40"/>
                <w:szCs w:val="40"/>
                <w:highlight w:val="none"/>
                <w:vertAlign w:val="baseline"/>
                <w:lang w:val="en-US" w:eastAsia="zh-CN"/>
              </w:rPr>
            </w:pPr>
            <w:r>
              <w:rPr>
                <w:rFonts w:hint="default" w:ascii="Times New Roman" w:hAnsi="Times New Roman" w:eastAsia="楷体" w:cs="Times New Roman"/>
                <w:i w:val="0"/>
                <w:color w:val="000000"/>
                <w:kern w:val="0"/>
                <w:sz w:val="24"/>
                <w:szCs w:val="24"/>
                <w:u w:val="none"/>
                <w:lang w:val="en-US" w:eastAsia="zh-CN" w:bidi="ar"/>
              </w:rPr>
              <w:t>0.305</w:t>
            </w:r>
          </w:p>
        </w:tc>
        <w:tc>
          <w:tcPr>
            <w:tcW w:w="2474" w:type="dxa"/>
            <w:vMerge w:val="continue"/>
            <w:vAlign w:val="center"/>
          </w:tcPr>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bl>
    <w:p>
      <w:pPr>
        <w:rPr>
          <w:rFonts w:hint="default" w:ascii="Times New Roman" w:hAnsi="Times New Roman" w:eastAsia="宋体" w:cs="Times New Roman"/>
          <w:sz w:val="24"/>
          <w:szCs w:val="24"/>
          <w:lang w:eastAsia="zh-CN"/>
        </w:rPr>
      </w:pP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上表可知，厂界无组织废气颗粒物最大排放浓度为0.3</w:t>
      </w: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23</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满足新乡市生态环境局《关于进一步规范工业企业颗粒物排放限值的通知》</w:t>
      </w: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0.5mg/m</w:t>
      </w:r>
      <w:r>
        <w:rPr>
          <w:rFonts w:hint="default" w:ascii="Times New Roman" w:hAnsi="Times New Roman" w:eastAsia="宋体" w:cs="Times New Roman"/>
          <w:b w:val="0"/>
          <w:bCs w:val="0"/>
          <w:color w:val="000000" w:themeColor="text1"/>
          <w:sz w:val="28"/>
          <w:szCs w:val="28"/>
          <w:highlight w:val="none"/>
          <w:vertAlign w:val="superscript"/>
          <w:lang w:val="en-US" w:eastAsia="zh-CN"/>
          <w14:textFill>
            <w14:solidFill>
              <w14:schemeClr w14:val="tx1"/>
            </w14:solidFill>
          </w14:textFill>
        </w:rPr>
        <w:t>3</w:t>
      </w:r>
      <w:r>
        <w:rPr>
          <w:rFonts w:hint="eastAsia" w:ascii="Times New Roman" w:hAnsi="Times New Roman" w:cs="Times New Roman"/>
          <w:b w:val="0"/>
          <w:bCs w:val="0"/>
          <w:color w:val="000000" w:themeColor="text1"/>
          <w:sz w:val="28"/>
          <w:szCs w:val="28"/>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要求。</w:t>
      </w:r>
    </w:p>
    <w:p>
      <w:pPr>
        <w:numPr>
          <w:ilvl w:val="0"/>
          <w:numId w:val="1"/>
        </w:numPr>
        <w:ind w:left="0" w:leftChars="0" w:firstLine="0" w:firstLineChars="0"/>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厂界噪声</w:t>
      </w:r>
    </w:p>
    <w:p>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噪声</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监测</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结果</w:t>
      </w:r>
      <w:r>
        <w:rPr>
          <w:rFonts w:hint="default" w:ascii="Times New Roman" w:hAnsi="Times New Roman" w:eastAsia="宋体" w:cs="Times New Roman"/>
          <w:b w:val="0"/>
          <w:bCs w:val="0"/>
          <w:color w:val="000000" w:themeColor="text1"/>
          <w:sz w:val="28"/>
          <w:szCs w:val="28"/>
          <w:highlight w:val="none"/>
          <w:lang w:eastAsia="zh-CN"/>
          <w14:textFill>
            <w14:solidFill>
              <w14:schemeClr w14:val="tx1"/>
            </w14:solidFill>
          </w14:textFill>
        </w:rPr>
        <w:t>见表</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16。</w:t>
      </w:r>
    </w:p>
    <w:p>
      <w:pPr>
        <w:pStyle w:val="7"/>
        <w:spacing w:after="0"/>
        <w:ind w:left="0" w:leftChars="0" w:firstLine="0"/>
        <w:jc w:val="cente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表16   噪声检测结果</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3127"/>
        <w:gridCol w:w="1888"/>
        <w:gridCol w:w="1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913"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检测日期</w:t>
            </w:r>
          </w:p>
        </w:tc>
        <w:tc>
          <w:tcPr>
            <w:tcW w:w="1835"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检测</w:t>
            </w:r>
            <w:r>
              <w:rPr>
                <w:rFonts w:hint="default" w:ascii="Times New Roman" w:hAnsi="Times New Roman" w:eastAsia="宋体" w:cs="Times New Roman"/>
                <w:sz w:val="24"/>
                <w:szCs w:val="24"/>
                <w:highlight w:val="none"/>
                <w:lang w:val="en-US" w:eastAsia="zh-CN"/>
              </w:rPr>
              <w:t>点位</w:t>
            </w:r>
          </w:p>
        </w:tc>
        <w:tc>
          <w:tcPr>
            <w:tcW w:w="2251" w:type="pct"/>
            <w:gridSpan w:val="2"/>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 xml:space="preserve">   检测结果</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z w:val="24"/>
                <w:szCs w:val="24"/>
                <w:highlight w:val="none"/>
                <w:lang w:val="en-US" w:eastAsia="zh-CN"/>
              </w:rPr>
              <w:t>单位</w:t>
            </w:r>
            <w:r>
              <w:rPr>
                <w:rFonts w:hint="default" w:ascii="Times New Roman" w:hAnsi="Times New Roman" w:eastAsia="宋体" w:cs="Times New Roman"/>
                <w:kern w:val="0"/>
                <w:sz w:val="24"/>
                <w:szCs w:val="24"/>
                <w:highlight w:val="none"/>
                <w:lang w:eastAsia="zh-CN" w:bidi="ar"/>
              </w:rPr>
              <w:t>：</w:t>
            </w:r>
            <w:r>
              <w:rPr>
                <w:rFonts w:hint="default" w:ascii="Times New Roman" w:hAnsi="Times New Roman" w:eastAsia="宋体" w:cs="Times New Roman"/>
                <w:kern w:val="0"/>
                <w:sz w:val="24"/>
                <w:szCs w:val="24"/>
                <w:highlight w:val="none"/>
                <w:lang w:bidi="ar"/>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913"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835"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108"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tc>
        <w:tc>
          <w:tcPr>
            <w:tcW w:w="114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夜间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夜间</w:t>
            </w:r>
          </w:p>
          <w:p>
            <w:pPr>
              <w:spacing w:line="400" w:lineRule="exact"/>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01</w:t>
            </w: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东厂界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51</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kern w:val="2"/>
                <w:sz w:val="24"/>
                <w:szCs w:val="24"/>
                <w:lang w:val="en-US" w:eastAsia="zh-CN" w:bidi="ar-SA"/>
              </w:rPr>
              <w:t>南厂界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55</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西厂界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53</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kern w:val="2"/>
                <w:sz w:val="24"/>
                <w:szCs w:val="24"/>
                <w:lang w:val="en-US" w:eastAsia="zh-CN" w:bidi="ar-SA"/>
              </w:rPr>
              <w:t>北厂界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52</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02</w:t>
            </w: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东厂界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53</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南厂界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56</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西厂界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55</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kern w:val="2"/>
                <w:sz w:val="24"/>
                <w:szCs w:val="24"/>
                <w:lang w:val="en-US" w:eastAsia="zh-CN" w:bidi="ar-SA"/>
              </w:rPr>
              <w:t>北厂界</w:t>
            </w:r>
          </w:p>
        </w:tc>
        <w:tc>
          <w:tcPr>
            <w:tcW w:w="188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54</w:t>
            </w:r>
          </w:p>
        </w:tc>
        <w:tc>
          <w:tcPr>
            <w:tcW w:w="1948" w:type="dxa"/>
            <w:tcBorders>
              <w:tl2br w:val="nil"/>
              <w:tr2bl w:val="nil"/>
            </w:tcBorders>
            <w:noWrap w:val="0"/>
            <w:vAlign w:val="center"/>
          </w:tcPr>
          <w:p>
            <w:pPr>
              <w:keepNext/>
              <w:widowControl w:val="0"/>
              <w:jc w:val="center"/>
              <w:outlineLvl w:val="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w:t>
            </w:r>
          </w:p>
        </w:tc>
      </w:tr>
    </w:tbl>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b w:val="0"/>
          <w:bCs w:val="0"/>
          <w:color w:val="FF0000"/>
          <w:sz w:val="28"/>
          <w:szCs w:val="28"/>
          <w:highlight w:val="none"/>
          <w:lang w:val="en-US" w:eastAsia="zh-CN"/>
        </w:rPr>
      </w:pP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根据上表可知，厂界昼间噪声值为：51-56dB（A），夜间噪声值为：4</w:t>
      </w:r>
      <w:r>
        <w:rPr>
          <w:rFonts w:hint="eastAsia" w:cs="Times New Roman"/>
          <w:b w:val="0"/>
          <w:bCs w:val="0"/>
          <w:color w:val="000000" w:themeColor="text1"/>
          <w:sz w:val="28"/>
          <w:szCs w:val="28"/>
          <w:highlight w:val="none"/>
          <w:vertAlign w:val="baseli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-44dB（A），均能够满足《工业企业厂界环境噪声排放标准》（GB12348-2008）2类（昼间60dB（A）、夜间50dB（A））标准要求。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2.2污染物排放总量核算</w:t>
      </w:r>
      <w:bookmarkStart w:id="44" w:name="_Toc497001496"/>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本项目生产过程中产生的废气不涉及SO2、NOx等总量控制指标。根据监测结果，</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颗粒物废气</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排放速率为</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0.038kg/h</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，则该项目的颗粒物实际排放总量为0.0547t/a，</w:t>
      </w:r>
      <w:r>
        <w:rPr>
          <w:rFonts w:hint="default"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满足环评文件中申请的总量指标</w:t>
      </w:r>
      <w:r>
        <w:rPr>
          <w:rFonts w:hint="eastAsia"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颗粒物</w:t>
      </w:r>
      <w:r>
        <w:rPr>
          <w:rFonts w:hint="default" w:ascii="Times New Roman" w:hAnsi="Times New Roman" w:eastAsia="宋体" w:cs="Times New Roman"/>
          <w:b w:val="0"/>
          <w:bCs w:val="0"/>
          <w:color w:val="000000" w:themeColor="text1"/>
          <w:kern w:val="2"/>
          <w:sz w:val="28"/>
          <w:szCs w:val="28"/>
          <w:highlight w:val="none"/>
          <w:lang w:val="en-US" w:eastAsia="zh-CN" w:bidi="ar-SA"/>
          <w14:textFill>
            <w14:solidFill>
              <w14:schemeClr w14:val="tx1"/>
            </w14:solidFill>
          </w14:textFill>
        </w:rPr>
        <w:t>0.0908</w:t>
      </w:r>
      <w:r>
        <w:rPr>
          <w:rFonts w:hint="eastAsia" w:ascii="Times New Roman" w:hAnsi="Times New Roman" w:cs="Times New Roman"/>
          <w:b w:val="0"/>
          <w:bCs w:val="0"/>
          <w:color w:val="000000" w:themeColor="text1"/>
          <w:kern w:val="2"/>
          <w:sz w:val="28"/>
          <w:szCs w:val="28"/>
          <w:highlight w:val="none"/>
          <w:lang w:val="en-US" w:eastAsia="zh-CN" w:bidi="ar-SA"/>
          <w14:textFill>
            <w14:solidFill>
              <w14:schemeClr w14:val="tx1"/>
            </w14:solidFill>
          </w14:textFill>
        </w:rPr>
        <w:t>t/a</w:t>
      </w:r>
      <w:r>
        <w:rPr>
          <w:rFonts w:hint="default" w:ascii="Times New Roman" w:hAnsi="Times New Roman" w:cs="Times New Roman"/>
          <w:b w:val="0"/>
          <w:color w:val="000000" w:themeColor="text1"/>
          <w:kern w:val="2"/>
          <w:sz w:val="28"/>
          <w:szCs w:val="28"/>
          <w:highlight w:val="none"/>
          <w:lang w:val="en-US" w:eastAsia="zh-CN" w:bidi="ar-SA"/>
          <w14:textFill>
            <w14:solidFill>
              <w14:schemeClr w14:val="tx1"/>
            </w14:solidFill>
          </w14:textFill>
        </w:rPr>
        <w:t>，符合验收要求。</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3.工程建设对环境的影响</w:t>
      </w:r>
    </w:p>
    <w:bookmarkEnd w:id="44"/>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bookmarkStart w:id="45" w:name="_Toc497001502"/>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验收监测期间，项目各项污染物均能够做到达标排放或有效处理处置，项目建设对周围环境影响很小。</w:t>
      </w:r>
      <w:bookmarkEnd w:id="45"/>
    </w:p>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十、验收监测结论</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val="0"/>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1.环保设施调试效果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验收监测期间，</w:t>
      </w:r>
      <w:r>
        <w:rPr>
          <w:rFonts w:hint="eastAsia"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新乡市永华机械有限公司年产50台套矿山机械设备项目</w:t>
      </w: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满足国家对建设项目竣工环境保护验收监测期间生产负荷达到额定生产负荷75%以上</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的要求。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1.1污染物排放监测</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8"/>
          <w:szCs w:val="28"/>
          <w:highlight w:val="none"/>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000000" w:themeColor="text1"/>
          <w:sz w:val="28"/>
          <w:szCs w:val="28"/>
          <w:highlight w:val="yellow"/>
          <w:lang w:val="en-US" w:eastAsia="zh-CN"/>
          <w14:textFill>
            <w14:solidFill>
              <w14:schemeClr w14:val="tx1"/>
            </w14:solidFill>
          </w14:textFill>
        </w:rPr>
      </w:pPr>
      <w:bookmarkStart w:id="46" w:name="_Hlk496998889"/>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验收监测期间，本项目废气排放情况为：</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pPr>
      <w:r>
        <w:rPr>
          <w:rFonts w:hint="eastAsia" w:hAnsi="宋体"/>
          <w:b w:val="0"/>
          <w:bCs w:val="0"/>
          <w:color w:val="000000" w:themeColor="text1"/>
          <w:sz w:val="28"/>
          <w:szCs w:val="28"/>
          <w:highlight w:val="none"/>
          <w:vertAlign w:val="baseline"/>
          <w:lang w:val="en-US" w:eastAsia="zh-CN"/>
          <w14:textFill>
            <w14:solidFill>
              <w14:schemeClr w14:val="tx1"/>
            </w14:solidFill>
          </w14:textFill>
        </w:rPr>
        <w:t>有组织废气经</w:t>
      </w:r>
      <w:r>
        <w:rPr>
          <w:rFonts w:hint="eastAsia"/>
          <w:b w:val="0"/>
          <w:bCs w:val="0"/>
          <w:color w:val="000000" w:themeColor="text1"/>
          <w:sz w:val="28"/>
          <w:szCs w:val="28"/>
          <w:highlight w:val="none"/>
          <w:vertAlign w:val="baseline"/>
          <w:lang w:val="en-US" w:eastAsia="zh-CN"/>
          <w14:textFill>
            <w14:solidFill>
              <w14:schemeClr w14:val="tx1"/>
            </w14:solidFill>
          </w14:textFill>
        </w:rPr>
        <w:t>袋式除尘器+</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15m高排气筒排放</w:t>
      </w:r>
      <w:r>
        <w:rPr>
          <w:rFonts w:hint="eastAsia"/>
          <w:b w:val="0"/>
          <w:bCs w:val="0"/>
          <w:color w:val="000000" w:themeColor="text1"/>
          <w:sz w:val="28"/>
          <w:szCs w:val="28"/>
          <w:highlight w:val="none"/>
          <w:vertAlign w:val="baseline"/>
          <w:lang w:val="en-US" w:eastAsia="zh-CN"/>
          <w14:textFill>
            <w14:solidFill>
              <w14:schemeClr w14:val="tx1"/>
            </w14:solidFill>
          </w14:textFill>
        </w:rPr>
        <w:t>后最大排放</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浓度为8.4mg/m</w:t>
      </w:r>
      <w:r>
        <w:rPr>
          <w:rFonts w:hint="eastAsia" w:hAnsi="宋体"/>
          <w:b w:val="0"/>
          <w:bCs w:val="0"/>
          <w:color w:val="000000" w:themeColor="text1"/>
          <w:sz w:val="28"/>
          <w:szCs w:val="28"/>
          <w:highlight w:val="none"/>
          <w:vertAlign w:val="superscript"/>
          <w:lang w:val="en-US" w:eastAsia="zh-CN"/>
          <w14:textFill>
            <w14:solidFill>
              <w14:schemeClr w14:val="tx1"/>
            </w14:solidFill>
          </w14:textFill>
        </w:rPr>
        <w:t>3</w:t>
      </w:r>
      <w:r>
        <w:rPr>
          <w:rFonts w:hint="eastAsia" w:hAnsi="宋体"/>
          <w:b w:val="0"/>
          <w:bCs w:val="0"/>
          <w:color w:val="000000" w:themeColor="text1"/>
          <w:sz w:val="28"/>
          <w:szCs w:val="28"/>
          <w:highlight w:val="none"/>
          <w:vertAlign w:val="baseline"/>
          <w:lang w:val="en-US" w:eastAsia="zh-CN"/>
          <w14:textFill>
            <w14:solidFill>
              <w14:schemeClr w14:val="tx1"/>
            </w14:solidFill>
          </w14:textFill>
        </w:rPr>
        <w:t>最大排放速率为0.044kg/h能</w:t>
      </w:r>
      <w:r>
        <w:rPr>
          <w:rFonts w:hint="eastAsia"/>
          <w:b w:val="0"/>
          <w:bCs w:val="0"/>
          <w:color w:val="000000" w:themeColor="text1"/>
          <w:sz w:val="28"/>
          <w:szCs w:val="28"/>
          <w:highlight w:val="none"/>
          <w:vertAlign w:val="baseline"/>
          <w:lang w:val="en-US" w:eastAsia="zh-CN"/>
          <w14:textFill>
            <w14:solidFill>
              <w14:schemeClr w14:val="tx1"/>
            </w14:solidFill>
          </w14:textFill>
        </w:rPr>
        <w:t>满足《新乡市生态环境局关于进一步规范工业企业颗粒物排放限值的通知》颗粒物有组织排放浓度限值（10mg/m</w:t>
      </w:r>
      <w:r>
        <w:rPr>
          <w:rFonts w:hint="eastAsia"/>
          <w:b w:val="0"/>
          <w:bCs w:val="0"/>
          <w:color w:val="000000" w:themeColor="text1"/>
          <w:sz w:val="28"/>
          <w:szCs w:val="28"/>
          <w:highlight w:val="none"/>
          <w:vertAlign w:val="superscript"/>
          <w:lang w:val="en-US" w:eastAsia="zh-CN"/>
          <w14:textFill>
            <w14:solidFill>
              <w14:schemeClr w14:val="tx1"/>
            </w14:solidFill>
          </w14:textFill>
        </w:rPr>
        <w:t>3</w:t>
      </w:r>
      <w:r>
        <w:rPr>
          <w:rFonts w:hint="eastAsia"/>
          <w:b w:val="0"/>
          <w:bCs w:val="0"/>
          <w:color w:val="000000" w:themeColor="text1"/>
          <w:sz w:val="28"/>
          <w:szCs w:val="28"/>
          <w:highlight w:val="none"/>
          <w:vertAlign w:val="baseline"/>
          <w:lang w:val="en-US" w:eastAsia="zh-CN"/>
          <w14:textFill>
            <w14:solidFill>
              <w14:schemeClr w14:val="tx1"/>
            </w14:solidFill>
          </w14:textFill>
        </w:rPr>
        <w:t>）要求 和《大气污染物综合排放标准》（</w:t>
      </w:r>
      <w:r>
        <w:rPr>
          <w:rFonts w:hint="default" w:ascii="Times New Roman" w:hAnsi="Times New Roman" w:eastAsia="宋体" w:cs="Times New Roman"/>
          <w:color w:val="auto"/>
          <w:sz w:val="28"/>
          <w:szCs w:val="28"/>
          <w:highlight w:val="none"/>
          <w:lang w:val="en-US" w:eastAsia="zh-CN"/>
        </w:rPr>
        <w:t>GB16297-1996</w:t>
      </w:r>
      <w:r>
        <w:rPr>
          <w:rFonts w:hint="eastAsia"/>
          <w:b w:val="0"/>
          <w:bCs w:val="0"/>
          <w:color w:val="000000" w:themeColor="text1"/>
          <w:sz w:val="28"/>
          <w:szCs w:val="28"/>
          <w:highlight w:val="none"/>
          <w:vertAlign w:val="baseline"/>
          <w:lang w:val="en-US" w:eastAsia="zh-CN"/>
          <w14:textFill>
            <w14:solidFill>
              <w14:schemeClr w14:val="tx1"/>
            </w14:solidFill>
          </w14:textFill>
        </w:rPr>
        <w:t>）</w:t>
      </w:r>
      <w:r>
        <w:rPr>
          <w:rFonts w:hint="default"/>
          <w:b w:val="0"/>
          <w:bCs w:val="0"/>
          <w:color w:val="000000" w:themeColor="text1"/>
          <w:sz w:val="28"/>
          <w:szCs w:val="28"/>
          <w:highlight w:val="none"/>
          <w:vertAlign w:val="baseline"/>
          <w:lang w:val="en-US" w:eastAsia="zh-CN"/>
          <w14:textFill>
            <w14:solidFill>
              <w14:schemeClr w14:val="tx1"/>
            </w14:solidFill>
          </w14:textFill>
        </w:rPr>
        <w:t>15m</w:t>
      </w:r>
      <w:r>
        <w:rPr>
          <w:rFonts w:hint="eastAsia"/>
          <w:b w:val="0"/>
          <w:bCs w:val="0"/>
          <w:color w:val="000000" w:themeColor="text1"/>
          <w:sz w:val="28"/>
          <w:szCs w:val="28"/>
          <w:highlight w:val="none"/>
          <w:vertAlign w:val="baseline"/>
          <w:lang w:val="en-US" w:eastAsia="zh-CN"/>
          <w14:textFill>
            <w14:solidFill>
              <w14:schemeClr w14:val="tx1"/>
            </w14:solidFill>
          </w14:textFill>
        </w:rPr>
        <w:t>排气筒最高允许排放速率（</w:t>
      </w:r>
      <w:r>
        <w:rPr>
          <w:rFonts w:hint="default"/>
          <w:b w:val="0"/>
          <w:bCs w:val="0"/>
          <w:color w:val="000000" w:themeColor="text1"/>
          <w:sz w:val="28"/>
          <w:szCs w:val="28"/>
          <w:highlight w:val="none"/>
          <w:vertAlign w:val="baseline"/>
          <w:lang w:val="en-US" w:eastAsia="zh-CN"/>
          <w14:textFill>
            <w14:solidFill>
              <w14:schemeClr w14:val="tx1"/>
            </w14:solidFill>
          </w14:textFill>
        </w:rPr>
        <w:t>3.5kg/h</w:t>
      </w:r>
      <w:r>
        <w:rPr>
          <w:rFonts w:hint="eastAsia"/>
          <w:b w:val="0"/>
          <w:bCs w:val="0"/>
          <w:color w:val="000000" w:themeColor="text1"/>
          <w:sz w:val="28"/>
          <w:szCs w:val="28"/>
          <w:highlight w:val="none"/>
          <w:vertAlign w:val="baseline"/>
          <w:lang w:val="en-US" w:eastAsia="zh-CN"/>
          <w14:textFill>
            <w14:solidFill>
              <w14:schemeClr w14:val="tx1"/>
            </w14:solidFill>
          </w14:textFill>
        </w:rPr>
        <w:t>）的要求</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b w:val="0"/>
          <w:bCs w:val="0"/>
          <w:color w:val="000000" w:themeColor="text1"/>
          <w:sz w:val="28"/>
          <w:szCs w:val="28"/>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厂界无组织废气颗粒物最大排放浓度为0.3</w:t>
      </w:r>
      <w:r>
        <w:rPr>
          <w:rFonts w:hint="eastAsia" w:cs="Times New Roman"/>
          <w:b w:val="0"/>
          <w:bCs w:val="0"/>
          <w:color w:val="000000" w:themeColor="text1"/>
          <w:sz w:val="28"/>
          <w:szCs w:val="28"/>
          <w:highlight w:val="none"/>
          <w:lang w:val="en-US" w:eastAsia="zh-CN"/>
          <w14:textFill>
            <w14:solidFill>
              <w14:schemeClr w14:val="tx1"/>
            </w14:solidFill>
          </w14:textFill>
        </w:rPr>
        <w:t>23</w:t>
      </w:r>
      <w:bookmarkStart w:id="48" w:name="_GoBack"/>
      <w:bookmarkEnd w:id="48"/>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满足新乡市生态环境局《关于进一步规范工业企业颗粒物排放限值的通知》</w:t>
      </w:r>
      <w:r>
        <w:rPr>
          <w:rFonts w:hint="eastAsia" w:ascii="Times New Roman" w:hAnsi="Times New Roman" w:cs="Times New Roman"/>
          <w:b w:val="0"/>
          <w:bCs w:val="0"/>
          <w:color w:val="000000" w:themeColor="text1"/>
          <w:sz w:val="28"/>
          <w:szCs w:val="28"/>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8"/>
          <w:szCs w:val="28"/>
          <w:highlight w:val="none"/>
          <w14:textFill>
            <w14:solidFill>
              <w14:schemeClr w14:val="tx1"/>
            </w14:solidFill>
          </w14:textFill>
        </w:rPr>
        <w:t>mg/m</w:t>
      </w:r>
      <w:r>
        <w:rPr>
          <w:rFonts w:hint="default" w:ascii="Times New Roman" w:hAnsi="Times New Roman" w:eastAsia="宋体" w:cs="Times New Roman"/>
          <w:b w:val="0"/>
          <w:bCs w:val="0"/>
          <w:color w:val="000000" w:themeColor="text1"/>
          <w:sz w:val="28"/>
          <w:szCs w:val="28"/>
          <w:highlight w:val="none"/>
          <w:vertAlign w:val="superscript"/>
          <w14:textFill>
            <w14:solidFill>
              <w14:schemeClr w14:val="tx1"/>
            </w14:solidFill>
          </w14:textFill>
        </w:rPr>
        <w:t>3</w:t>
      </w:r>
      <w:r>
        <w:rPr>
          <w:rFonts w:hint="eastAsia" w:ascii="Times New Roman" w:hAnsi="Times New Roman" w:cs="Times New Roman"/>
          <w:b w:val="0"/>
          <w:bCs w:val="0"/>
          <w:color w:val="000000" w:themeColor="text1"/>
          <w:sz w:val="28"/>
          <w:szCs w:val="28"/>
          <w:highlight w:val="none"/>
          <w:vertAlign w:val="baseline"/>
          <w:lang w:eastAsia="zh-CN"/>
          <w14:textFill>
            <w14:solidFill>
              <w14:schemeClr w14:val="tx1"/>
            </w14:solidFill>
          </w14:textFill>
        </w:rPr>
        <w:t>）</w:t>
      </w:r>
      <w:r>
        <w:rPr>
          <w:rFonts w:hint="eastAsia" w:cs="Times New Roman"/>
          <w:b w:val="0"/>
          <w:bCs w:val="0"/>
          <w:color w:val="000000" w:themeColor="text1"/>
          <w:sz w:val="28"/>
          <w:szCs w:val="28"/>
          <w:highlight w:val="none"/>
          <w:vertAlign w:val="baseline"/>
          <w:lang w:eastAsia="zh-CN"/>
          <w14:textFill>
            <w14:solidFill>
              <w14:schemeClr w14:val="tx1"/>
            </w14:solidFill>
          </w14:textFill>
        </w:rPr>
        <w:t>的</w:t>
      </w: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要求。</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（2）废水</w:t>
      </w:r>
    </w:p>
    <w:bookmarkEnd w:id="46"/>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t>本项目无生产废水产生；员工借调原有项目职工，不新增员工人数，故无新增生活用水量产生。</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（3）噪声</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本项目噪声主要来自于设备运行，采取设备安装减振基础、车间隔声等措施后，由监测结果可知，厂界昼间噪声值为：</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51-56</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dB（A），夜间噪声值为：</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4</w:t>
      </w:r>
      <w:r>
        <w:rPr>
          <w:rFonts w:hint="eastAsia" w:cs="Times New Roman"/>
          <w:b w:val="0"/>
          <w:bCs w:val="0"/>
          <w:color w:val="000000" w:themeColor="text1"/>
          <w:sz w:val="28"/>
          <w:szCs w:val="28"/>
          <w:highlight w:val="none"/>
          <w:vertAlign w:val="baseli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8"/>
          <w:szCs w:val="28"/>
          <w:highlight w:val="none"/>
          <w:vertAlign w:val="baseline"/>
          <w:lang w:val="en-US" w:eastAsia="zh-CN"/>
          <w14:textFill>
            <w14:solidFill>
              <w14:schemeClr w14:val="tx1"/>
            </w14:solidFill>
          </w14:textFill>
        </w:rPr>
        <w:t>-44</w:t>
      </w: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dB（A），均能够满足《工业企业厂界环境噪声排放标准》（GB12348-2008）2类（昼间60dB（A）、夜间50dB（A））标准要求，对周围的声环境影响不大。</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8"/>
          <w:szCs w:val="28"/>
          <w:highlight w:val="none"/>
          <w:lang w:val="en-US" w:eastAsia="zh-CN" w:bidi="ar-SA"/>
          <w14:textFill>
            <w14:solidFill>
              <w14:schemeClr w14:val="tx1"/>
            </w14:solidFill>
          </w14:textFill>
        </w:rPr>
        <w:t>（4）固体废物</w:t>
      </w:r>
    </w:p>
    <w:p>
      <w:pPr>
        <w:ind w:firstLine="560" w:firstLineChars="200"/>
        <w:rPr>
          <w:rFonts w:hint="default" w:ascii="Times New Roman" w:hAnsi="Times New Roman" w:eastAsia="宋体" w:cs="Times New Roman"/>
          <w:b w:val="0"/>
          <w:bCs w:val="0"/>
          <w:sz w:val="28"/>
          <w:szCs w:val="28"/>
          <w:highlight w:val="none"/>
          <w:lang w:val="en-US" w:eastAsia="zh-CN"/>
        </w:rPr>
      </w:pPr>
      <w:bookmarkStart w:id="47" w:name="_Toc497001504"/>
      <w:r>
        <w:rPr>
          <w:rFonts w:hint="default" w:ascii="Times New Roman" w:hAnsi="Times New Roman" w:eastAsia="宋体" w:cs="Times New Roman"/>
          <w:b w:val="0"/>
          <w:bCs w:val="0"/>
          <w:sz w:val="28"/>
          <w:szCs w:val="28"/>
          <w:highlight w:val="none"/>
          <w:lang w:val="en-US" w:eastAsia="zh-CN"/>
        </w:rPr>
        <w:t>项目运营期产生的固体废物有一般固体废弃物及危险废弃物。一般固体废弃物为边角料、焊丝及袋式除尘器收集粉尘集中收集后统一外售；危险废弃物为设备运行、维修时所产生的废润滑油和含油废</w:t>
      </w:r>
      <w:r>
        <w:rPr>
          <w:rFonts w:hint="eastAsia" w:ascii="Times New Roman" w:hAnsi="Times New Roman" w:eastAsia="宋体" w:cs="Times New Roman"/>
          <w:b w:val="0"/>
          <w:bCs w:val="0"/>
          <w:sz w:val="28"/>
          <w:szCs w:val="28"/>
          <w:highlight w:val="none"/>
          <w:lang w:val="en-US" w:eastAsia="zh-CN"/>
        </w:rPr>
        <w:t>抹布。</w:t>
      </w:r>
      <w:r>
        <w:rPr>
          <w:rFonts w:hint="default" w:ascii="Times New Roman" w:hAnsi="Times New Roman" w:eastAsia="宋体" w:cs="Times New Roman"/>
          <w:b w:val="0"/>
          <w:bCs w:val="0"/>
          <w:sz w:val="28"/>
          <w:szCs w:val="28"/>
          <w:highlight w:val="none"/>
          <w:lang w:val="en-US" w:eastAsia="zh-CN"/>
        </w:rPr>
        <w:t>含油废</w:t>
      </w:r>
      <w:r>
        <w:rPr>
          <w:rFonts w:hint="eastAsia" w:ascii="Times New Roman" w:hAnsi="Times New Roman" w:eastAsia="宋体" w:cs="Times New Roman"/>
          <w:b w:val="0"/>
          <w:bCs w:val="0"/>
          <w:sz w:val="28"/>
          <w:szCs w:val="28"/>
          <w:highlight w:val="none"/>
          <w:lang w:val="en-US" w:eastAsia="zh-CN"/>
        </w:rPr>
        <w:t>抹布危废间暂存后</w:t>
      </w:r>
      <w:r>
        <w:rPr>
          <w:rFonts w:hint="default" w:ascii="Times New Roman" w:hAnsi="Times New Roman" w:eastAsia="宋体" w:cs="Times New Roman"/>
          <w:b w:val="0"/>
          <w:bCs w:val="0"/>
          <w:sz w:val="28"/>
          <w:szCs w:val="28"/>
          <w:highlight w:val="none"/>
          <w:lang w:val="en-US" w:eastAsia="zh-CN"/>
        </w:rPr>
        <w:t>混入生活垃圾中集中收集后，定期运送至垃圾转运站</w:t>
      </w:r>
      <w:r>
        <w:rPr>
          <w:rFonts w:hint="eastAsia" w:ascii="Times New Roman" w:hAnsi="Times New Roman" w:eastAsia="宋体" w:cs="Times New Roman"/>
          <w:b w:val="0"/>
          <w:bCs w:val="0"/>
          <w:sz w:val="28"/>
          <w:szCs w:val="28"/>
          <w:highlight w:val="none"/>
          <w:lang w:val="en-US" w:eastAsia="zh-CN"/>
        </w:rPr>
        <w:t>处理</w:t>
      </w:r>
      <w:r>
        <w:rPr>
          <w:rFonts w:hint="default" w:ascii="Times New Roman" w:hAnsi="Times New Roman" w:eastAsia="宋体" w:cs="Times New Roman"/>
          <w:b w:val="0"/>
          <w:bCs w:val="0"/>
          <w:sz w:val="28"/>
          <w:szCs w:val="28"/>
          <w:highlight w:val="none"/>
          <w:lang w:val="en-US" w:eastAsia="zh-CN"/>
        </w:rPr>
        <w:t>；废润滑油暂存在危险废物暂存间，</w:t>
      </w:r>
      <w:r>
        <w:rPr>
          <w:rFonts w:hint="eastAsia" w:ascii="Times New Roman" w:hAnsi="Times New Roman" w:eastAsia="宋体" w:cs="Times New Roman"/>
          <w:b w:val="0"/>
          <w:bCs w:val="0"/>
          <w:sz w:val="28"/>
          <w:szCs w:val="28"/>
          <w:highlight w:val="none"/>
          <w:lang w:val="en-US" w:eastAsia="zh-CN"/>
        </w:rPr>
        <w:t>由</w:t>
      </w:r>
      <w:r>
        <w:rPr>
          <w:rFonts w:hint="default" w:ascii="Times New Roman" w:hAnsi="Times New Roman" w:eastAsia="宋体" w:cs="Times New Roman"/>
          <w:b w:val="0"/>
          <w:bCs w:val="0"/>
          <w:sz w:val="28"/>
          <w:szCs w:val="28"/>
          <w:highlight w:val="none"/>
          <w:lang w:val="en-US" w:eastAsia="zh-CN"/>
        </w:rPr>
        <w:t>洛阳德鑫环保科技有限公司定期回收，满足《危险废物贮存污染控制标准》（GB18597-2001）的要求。</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2.工程建设对环境的影响</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验收监测期间，项目各项污染物均能够做到达标排放或有效处理处置，项目建设对周围环境影响很小。</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1"/>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30"/>
          <w:szCs w:val="30"/>
          <w:highlight w:val="none"/>
          <w:lang w:val="en-US" w:eastAsia="zh-CN" w:bidi="ar-SA"/>
          <w14:textFill>
            <w14:solidFill>
              <w14:schemeClr w14:val="tx1"/>
            </w14:solidFill>
          </w14:textFill>
        </w:rPr>
        <w:t>3.建议</w:t>
      </w:r>
      <w:bookmarkEnd w:id="47"/>
      <w: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（1）加强对环保设施的日常维护和管理，加强监督管理，精心操作，维护保养好设备，使环保设施长期稳定运行，确保废气、噪声污染物长期稳定达标排放。</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（2）定期检查设备安全，维护设备，使设备运行噪声降至最低。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8"/>
          <w:szCs w:val="28"/>
          <w:highlight w:val="none"/>
          <w:lang w:val="en-US" w:eastAsia="zh-CN" w:bidi="ar-SA"/>
          <w14:textFill>
            <w14:solidFill>
              <w14:schemeClr w14:val="tx1"/>
            </w14:solidFill>
          </w14:textFill>
        </w:rPr>
        <w:t>（3）厂区做好危废处理措施，危险废物贮存设施都必须按《环境保护图形标志固体废物贮存（处置）场》（GB15562.2-1995）的规定设置警示标志，按照《危险废物贮存污染控制标准》（GB18597-2001）（2013年修订）相关要求，妥善处理危险废物。</w:t>
      </w:r>
    </w:p>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36"/>
          <w:szCs w:val="36"/>
          <w:highlight w:val="none"/>
          <w:lang w:val="en-US" w:eastAsia="zh-CN" w:bidi="ar-SA"/>
          <w14:textFill>
            <w14:solidFill>
              <w14:schemeClr w14:val="tx1"/>
            </w14:solidFill>
          </w14:textFill>
        </w:rPr>
        <w:t>十一、建设项目工程环境保护“三同时”竣工验收报告表</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highlight w:val="yellow"/>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具体内容如下表。</w:t>
      </w:r>
      <w:r>
        <w:rPr>
          <w:rFonts w:hint="default" w:ascii="Times New Roman" w:hAnsi="Times New Roman" w:eastAsia="宋体" w:cs="Times New Roman"/>
          <w:sz w:val="24"/>
          <w:szCs w:val="24"/>
          <w:highlight w:val="yellow"/>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建设项目工程环境保护“三同时”竣工验收</w:t>
      </w:r>
      <w:r>
        <w:rPr>
          <w:rFonts w:hint="default" w:ascii="Times New Roman" w:hAnsi="Times New Roman" w:eastAsia="宋体" w:cs="Times New Roman"/>
          <w:color w:val="auto"/>
          <w:sz w:val="24"/>
          <w:szCs w:val="24"/>
          <w:highlight w:val="none"/>
          <w:lang w:eastAsia="zh-CN"/>
        </w:rPr>
        <w:t>报告表</w:t>
      </w:r>
    </w:p>
    <w:p>
      <w:pPr>
        <w:ind w:firstLine="210" w:firstLineChars="1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rPr>
        <w:t>填表单位（盖章）：</w:t>
      </w:r>
      <w:r>
        <w:rPr>
          <w:rFonts w:hint="eastAsia" w:ascii="Times New Roman" w:hAnsi="Times New Roman" w:eastAsia="宋体" w:cs="Times New Roman"/>
          <w:color w:val="auto"/>
          <w:highlight w:val="none"/>
          <w:lang w:val="en-US" w:eastAsia="zh-CN"/>
        </w:rPr>
        <w:t>新乡市永华机械有限公司</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000000" w:themeColor="text1"/>
          <w:highlight w:val="none"/>
          <w14:textFill>
            <w14:solidFill>
              <w14:schemeClr w14:val="tx1"/>
            </w14:solidFill>
          </w14:textFill>
        </w:rPr>
        <w:t>填表人（签字）：                            项目经办人（签字）：</w:t>
      </w:r>
    </w:p>
    <w:tbl>
      <w:tblPr>
        <w:tblStyle w:val="31"/>
        <w:tblW w:w="15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448"/>
        <w:gridCol w:w="1049"/>
        <w:gridCol w:w="136"/>
        <w:gridCol w:w="67"/>
        <w:gridCol w:w="528"/>
        <w:gridCol w:w="631"/>
        <w:gridCol w:w="1255"/>
        <w:gridCol w:w="1008"/>
        <w:gridCol w:w="96"/>
        <w:gridCol w:w="856"/>
        <w:gridCol w:w="1049"/>
        <w:gridCol w:w="405"/>
        <w:gridCol w:w="75"/>
        <w:gridCol w:w="540"/>
        <w:gridCol w:w="1320"/>
        <w:gridCol w:w="434"/>
        <w:gridCol w:w="241"/>
        <w:gridCol w:w="465"/>
        <w:gridCol w:w="1125"/>
        <w:gridCol w:w="78"/>
        <w:gridCol w:w="897"/>
        <w:gridCol w:w="967"/>
        <w:gridCol w:w="651"/>
        <w:gridCol w:w="549"/>
        <w:gridCol w:w="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17" w:type="dxa"/>
            <w:vMerge w:val="restart"/>
            <w:vAlign w:val="center"/>
          </w:tcPr>
          <w:p>
            <w:pPr>
              <w:spacing w:line="240" w:lineRule="auto"/>
              <w:jc w:val="both"/>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建设项目</w:t>
            </w: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项目名称</w:t>
            </w:r>
          </w:p>
        </w:tc>
        <w:tc>
          <w:tcPr>
            <w:tcW w:w="3846"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eastAsia="zh-CN"/>
              </w:rPr>
              <w:t>年产50台套矿山机械设备项目</w:t>
            </w: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项目代码</w:t>
            </w:r>
          </w:p>
        </w:tc>
        <w:tc>
          <w:tcPr>
            <w:tcW w:w="2774"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2020-410781-34-03-077439 </w:t>
            </w:r>
          </w:p>
        </w:tc>
        <w:tc>
          <w:tcPr>
            <w:tcW w:w="1909" w:type="dxa"/>
            <w:gridSpan w:val="4"/>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建设地点</w:t>
            </w:r>
          </w:p>
        </w:tc>
        <w:tc>
          <w:tcPr>
            <w:tcW w:w="3486"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eastAsia="zh-CN"/>
              </w:rPr>
              <w:t>卫辉市唐庄镇盆爻村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行业分类(分类管理名录)</w:t>
            </w:r>
          </w:p>
        </w:tc>
        <w:tc>
          <w:tcPr>
            <w:tcW w:w="3846"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C</w:t>
            </w:r>
            <w:r>
              <w:rPr>
                <w:rFonts w:hint="default" w:ascii="Times New Roman" w:hAnsi="Times New Roman" w:eastAsia="宋体" w:cs="Times New Roman"/>
                <w:color w:val="auto"/>
                <w:sz w:val="18"/>
                <w:szCs w:val="18"/>
                <w:highlight w:val="none"/>
                <w:lang w:val="en-US" w:eastAsia="zh-CN"/>
              </w:rPr>
              <w:t>3511矿山机械制造</w:t>
            </w:r>
          </w:p>
        </w:tc>
        <w:tc>
          <w:tcPr>
            <w:tcW w:w="2069" w:type="dxa"/>
            <w:gridSpan w:val="4"/>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建设性质</w:t>
            </w:r>
          </w:p>
        </w:tc>
        <w:tc>
          <w:tcPr>
            <w:tcW w:w="7149" w:type="dxa"/>
            <w:gridSpan w:val="11"/>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mc:AlternateContent>
                <mc:Choice Requires="wps">
                  <w:drawing>
                    <wp:anchor distT="0" distB="0" distL="114300" distR="114300" simplePos="0" relativeHeight="251685888" behindDoc="0" locked="0" layoutInCell="1" allowOverlap="1">
                      <wp:simplePos x="0" y="0"/>
                      <wp:positionH relativeFrom="column">
                        <wp:posOffset>1780540</wp:posOffset>
                      </wp:positionH>
                      <wp:positionV relativeFrom="paragraph">
                        <wp:posOffset>67945</wp:posOffset>
                      </wp:positionV>
                      <wp:extent cx="66675" cy="71120"/>
                      <wp:effectExtent l="0" t="0" r="10160" b="24765"/>
                      <wp:wrapNone/>
                      <wp:docPr id="22" name="矩形 22"/>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2pt;margin-top:5.35pt;height:5.6pt;width:5.25pt;z-index:251685888;v-text-anchor:middle;mso-width-relative:page;mso-height-relative:page;" fillcolor="#000000 [3213]" filled="t" stroked="t" coordsize="21600,21600" o:gfxdata="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XdpKnYAAAACQEAAA8AAAAAAAAAAQAgAAAAIgAAAGRycy9kb3ducmV2&#10;LnhtbFBLAQIUABQAAAAIAIdO4kCKbRZKbgIAAP4EAAAOAAAAAAAAAAEAIAAAACcBAABkcnMvZTJv&#10;RG9jLnhtbFBLBQYAAAAABgAGAFkBAAAHBgAAAAA=&#10;">
                      <v:fill on="t"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auto"/>
                <w:sz w:val="18"/>
                <w:szCs w:val="18"/>
                <w:highlight w:val="none"/>
                <w:lang w:eastAsia="zh-CN"/>
              </w:rPr>
              <mc:AlternateContent>
                <mc:Choice Requires="wps">
                  <w:drawing>
                    <wp:anchor distT="0" distB="0" distL="114300" distR="114300" simplePos="0" relativeHeight="2094979072" behindDoc="0" locked="0" layoutInCell="1" allowOverlap="1">
                      <wp:simplePos x="0" y="0"/>
                      <wp:positionH relativeFrom="column">
                        <wp:posOffset>1311275</wp:posOffset>
                      </wp:positionH>
                      <wp:positionV relativeFrom="paragraph">
                        <wp:posOffset>61595</wp:posOffset>
                      </wp:positionV>
                      <wp:extent cx="66675" cy="71120"/>
                      <wp:effectExtent l="6350" t="6350" r="18415" b="13970"/>
                      <wp:wrapNone/>
                      <wp:docPr id="6" name="矩形 6"/>
                      <wp:cNvGraphicFramePr/>
                      <a:graphic xmlns:a="http://schemas.openxmlformats.org/drawingml/2006/main">
                        <a:graphicData uri="http://schemas.microsoft.com/office/word/2010/wordprocessingShape">
                          <wps:wsp>
                            <wps:cNvSpPr/>
                            <wps:spPr>
                              <a:xfrm>
                                <a:off x="0" y="0"/>
                                <a:ext cx="66675" cy="71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25pt;margin-top:4.85pt;height:5.6pt;width:5.25pt;z-index:2094979072;v-text-anchor:middle;mso-width-relative:page;mso-height-relative:page;" filled="f" stroked="t" coordsize="21600,21600" o:gfxdata="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dPnqNYAAAAIAQAADwAAAAAAAAABACAAAAAiAAAAZHJzL2Rvd25yZXYueG1s&#10;UEsBAhQAFAAAAAgAh07iQCDEdQdsAgAA0wQAAA4AAAAAAAAAAQAgAAAAJQEAAGRycy9lMm9Eb2Mu&#10;eG1sUEsFBgAAAAAGAAYAWQEAAAMGA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auto"/>
                <w:sz w:val="18"/>
                <w:szCs w:val="18"/>
                <w:highlight w:val="none"/>
                <w:lang w:eastAsia="zh-CN"/>
              </w:rPr>
              <mc:AlternateContent>
                <mc:Choice Requires="wps">
                  <w:drawing>
                    <wp:anchor distT="0" distB="0" distL="114300" distR="114300" simplePos="0" relativeHeight="251683840" behindDoc="0" locked="0" layoutInCell="1" allowOverlap="1">
                      <wp:simplePos x="0" y="0"/>
                      <wp:positionH relativeFrom="column">
                        <wp:posOffset>2284730</wp:posOffset>
                      </wp:positionH>
                      <wp:positionV relativeFrom="paragraph">
                        <wp:posOffset>63500</wp:posOffset>
                      </wp:positionV>
                      <wp:extent cx="66675" cy="71120"/>
                      <wp:effectExtent l="0" t="0" r="10160" b="24765"/>
                      <wp:wrapNone/>
                      <wp:docPr id="28" name="矩形 28"/>
                      <wp:cNvGraphicFramePr/>
                      <a:graphic xmlns:a="http://schemas.openxmlformats.org/drawingml/2006/main">
                        <a:graphicData uri="http://schemas.microsoft.com/office/word/2010/wordprocessingShape">
                          <wps:wsp>
                            <wps:cNvSpPr/>
                            <wps:spPr>
                              <a:xfrm>
                                <a:off x="0" y="0"/>
                                <a:ext cx="66422" cy="70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val="en-US" w:eastAsia="zh-CN"/>
                                    </w:rPr>
                                  </w:pPr>
                                  <w:r>
                                    <w:rPr>
                                      <w:rFonts w:hint="eastAsia" w:eastAsia="宋体"/>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9pt;margin-top:5pt;height:5.6pt;width:5.25pt;z-index:251683840;v-text-anchor:middle;mso-width-relative:page;mso-height-relative:page;" filled="f" stroked="t" coordsize="21600,21600" o:gfxdata="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Jg78v1wAAAAkBAAAPAAAAAAAAAAEAIAAAACIAAABkcnMvZG93bnJldi54&#10;bWxQSwECFAAUAAAACACHTuJAYgGPBm0CAADVBAAADgAAAAAAAAABACAAAAAmAQAAZHJzL2Uyb0Rv&#10;Yy54bWxQSwUGAAAAAAYABgBZAQAABQY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eastAsia="宋体"/>
                                <w:lang w:val="en-US" w:eastAsia="zh-CN"/>
                              </w:rPr>
                              <w:t xml:space="preserve"> </w:t>
                            </w:r>
                          </w:p>
                        </w:txbxContent>
                      </v:textbox>
                    </v:rect>
                  </w:pict>
                </mc:Fallback>
              </mc:AlternateContent>
            </w:r>
            <w:r>
              <w:rPr>
                <w:rFonts w:hint="default" w:ascii="Times New Roman" w:hAnsi="Times New Roman" w:eastAsia="宋体" w:cs="Times New Roman"/>
                <w:color w:val="auto"/>
                <w:sz w:val="18"/>
                <w:szCs w:val="18"/>
                <w:highlight w:val="none"/>
                <w:lang w:eastAsia="zh-CN"/>
              </w:rPr>
              <w:t>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设计生产能力</w:t>
            </w:r>
          </w:p>
        </w:tc>
        <w:tc>
          <w:tcPr>
            <w:tcW w:w="3846"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年产50台套矿山机械设备</w:t>
            </w:r>
          </w:p>
        </w:tc>
        <w:tc>
          <w:tcPr>
            <w:tcW w:w="1454"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实际生产能力</w:t>
            </w:r>
          </w:p>
        </w:tc>
        <w:tc>
          <w:tcPr>
            <w:tcW w:w="2369" w:type="dxa"/>
            <w:gridSpan w:val="4"/>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年产50台套矿山机械设备</w:t>
            </w:r>
          </w:p>
        </w:tc>
        <w:tc>
          <w:tcPr>
            <w:tcW w:w="1909" w:type="dxa"/>
            <w:gridSpan w:val="4"/>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环评单位</w:t>
            </w:r>
          </w:p>
        </w:tc>
        <w:tc>
          <w:tcPr>
            <w:tcW w:w="3486" w:type="dxa"/>
            <w:gridSpan w:val="5"/>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河南昊泉环保科技有限公司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环评文件审批机关</w:t>
            </w:r>
          </w:p>
        </w:tc>
        <w:tc>
          <w:tcPr>
            <w:tcW w:w="3846"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卫辉市环境保护局</w:t>
            </w:r>
          </w:p>
        </w:tc>
        <w:tc>
          <w:tcPr>
            <w:tcW w:w="2069" w:type="dxa"/>
            <w:gridSpan w:val="4"/>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审批文号</w:t>
            </w:r>
          </w:p>
        </w:tc>
        <w:tc>
          <w:tcPr>
            <w:tcW w:w="2460"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卫环告表[2020]</w:t>
            </w:r>
            <w:r>
              <w:rPr>
                <w:rFonts w:hint="eastAsia" w:ascii="Times New Roman" w:hAnsi="Times New Roman" w:eastAsia="宋体" w:cs="Times New Roman"/>
                <w:color w:val="auto"/>
                <w:sz w:val="18"/>
                <w:szCs w:val="18"/>
                <w:highlight w:val="none"/>
                <w:lang w:val="en-US" w:eastAsia="zh-CN"/>
              </w:rPr>
              <w:t>47</w:t>
            </w:r>
            <w:r>
              <w:rPr>
                <w:rFonts w:hint="default" w:ascii="Times New Roman" w:hAnsi="Times New Roman" w:eastAsia="宋体" w:cs="Times New Roman"/>
                <w:color w:val="auto"/>
                <w:sz w:val="18"/>
                <w:szCs w:val="18"/>
                <w:highlight w:val="none"/>
                <w:lang w:val="en-US" w:eastAsia="zh-CN"/>
              </w:rPr>
              <w:t>号</w:t>
            </w:r>
          </w:p>
        </w:tc>
        <w:tc>
          <w:tcPr>
            <w:tcW w:w="2100"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环评文件类型</w:t>
            </w:r>
          </w:p>
        </w:tc>
        <w:tc>
          <w:tcPr>
            <w:tcW w:w="2589" w:type="dxa"/>
            <w:gridSpan w:val="4"/>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开工日期</w:t>
            </w:r>
          </w:p>
        </w:tc>
        <w:tc>
          <w:tcPr>
            <w:tcW w:w="3846"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2020年</w:t>
            </w:r>
            <w:r>
              <w:rPr>
                <w:rFonts w:hint="eastAsia"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lang w:val="en-US" w:eastAsia="zh-CN"/>
              </w:rPr>
              <w:t>月</w:t>
            </w:r>
          </w:p>
        </w:tc>
        <w:tc>
          <w:tcPr>
            <w:tcW w:w="2069" w:type="dxa"/>
            <w:gridSpan w:val="4"/>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竣工日期</w:t>
            </w:r>
          </w:p>
        </w:tc>
        <w:tc>
          <w:tcPr>
            <w:tcW w:w="2460" w:type="dxa"/>
            <w:gridSpan w:val="4"/>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20</w:t>
            </w:r>
            <w:r>
              <w:rPr>
                <w:rFonts w:hint="default" w:ascii="Times New Roman" w:hAnsi="Times New Roman" w:eastAsia="宋体" w:cs="Times New Roman"/>
                <w:color w:val="auto"/>
                <w:sz w:val="18"/>
                <w:szCs w:val="18"/>
                <w:highlight w:val="none"/>
                <w:lang w:val="en-US" w:eastAsia="zh-CN"/>
              </w:rPr>
              <w:t>20</w:t>
            </w:r>
            <w:r>
              <w:rPr>
                <w:rFonts w:hint="default" w:ascii="Times New Roman" w:hAnsi="Times New Roman" w:eastAsia="宋体" w:cs="Times New Roman"/>
                <w:color w:val="auto"/>
                <w:sz w:val="18"/>
                <w:szCs w:val="18"/>
                <w:highlight w:val="none"/>
                <w:lang w:eastAsia="zh-CN"/>
              </w:rPr>
              <w:t>年</w:t>
            </w:r>
            <w:r>
              <w:rPr>
                <w:rFonts w:hint="eastAsia" w:ascii="Times New Roman" w:hAnsi="Times New Roman" w:eastAsia="宋体" w:cs="Times New Roman"/>
                <w:color w:val="auto"/>
                <w:sz w:val="18"/>
                <w:szCs w:val="18"/>
                <w:highlight w:val="none"/>
                <w:lang w:val="en-US" w:eastAsia="zh-CN"/>
              </w:rPr>
              <w:t>11</w:t>
            </w:r>
            <w:r>
              <w:rPr>
                <w:rFonts w:hint="default" w:ascii="Times New Roman" w:hAnsi="Times New Roman" w:eastAsia="宋体" w:cs="Times New Roman"/>
                <w:color w:val="auto"/>
                <w:sz w:val="18"/>
                <w:szCs w:val="18"/>
                <w:highlight w:val="none"/>
                <w:lang w:eastAsia="zh-CN"/>
              </w:rPr>
              <w:t>月</w:t>
            </w:r>
          </w:p>
        </w:tc>
        <w:tc>
          <w:tcPr>
            <w:tcW w:w="2100"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排污许可证申领时间</w:t>
            </w:r>
          </w:p>
        </w:tc>
        <w:tc>
          <w:tcPr>
            <w:tcW w:w="2589"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2020年11月3日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环保设施设计单位</w:t>
            </w:r>
          </w:p>
        </w:tc>
        <w:tc>
          <w:tcPr>
            <w:tcW w:w="3846"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新乡市永华机械有限公司</w:t>
            </w:r>
          </w:p>
        </w:tc>
        <w:tc>
          <w:tcPr>
            <w:tcW w:w="2069" w:type="dxa"/>
            <w:gridSpan w:val="4"/>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环保设施施工单位</w:t>
            </w:r>
          </w:p>
        </w:tc>
        <w:tc>
          <w:tcPr>
            <w:tcW w:w="2460" w:type="dxa"/>
            <w:gridSpan w:val="4"/>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新乡市永华机械有限公司</w:t>
            </w:r>
          </w:p>
        </w:tc>
        <w:tc>
          <w:tcPr>
            <w:tcW w:w="2100"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本工程排污许可证编号</w:t>
            </w:r>
          </w:p>
        </w:tc>
        <w:tc>
          <w:tcPr>
            <w:tcW w:w="2589"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91410781326777610A001X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验收单位</w:t>
            </w:r>
          </w:p>
        </w:tc>
        <w:tc>
          <w:tcPr>
            <w:tcW w:w="3846"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auto"/>
                <w:sz w:val="18"/>
                <w:szCs w:val="18"/>
                <w:highlight w:val="none"/>
                <w:lang w:val="en-US" w:eastAsia="zh-CN"/>
              </w:rPr>
              <w:t>新乡市永华机械有限公司</w:t>
            </w:r>
          </w:p>
        </w:tc>
        <w:tc>
          <w:tcPr>
            <w:tcW w:w="206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环保设施</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18"/>
                <w:szCs w:val="18"/>
                <w:highlight w:val="none"/>
                <w14:textFill>
                  <w14:solidFill>
                    <w14:schemeClr w14:val="tx1"/>
                  </w14:solidFill>
                </w14:textFill>
              </w:rPr>
              <w:t>单位</w:t>
            </w:r>
          </w:p>
        </w:tc>
        <w:tc>
          <w:tcPr>
            <w:tcW w:w="246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河南永蓝检测技术有限公司</w:t>
            </w:r>
          </w:p>
        </w:tc>
        <w:tc>
          <w:tcPr>
            <w:tcW w:w="210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验收</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18"/>
                <w:szCs w:val="18"/>
                <w:highlight w:val="none"/>
                <w14:textFill>
                  <w14:solidFill>
                    <w14:schemeClr w14:val="tx1"/>
                  </w14:solidFill>
                </w14:textFill>
              </w:rPr>
              <w:t>时工况</w:t>
            </w:r>
          </w:p>
        </w:tc>
        <w:tc>
          <w:tcPr>
            <w:tcW w:w="258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投资总概算（万元）</w:t>
            </w:r>
          </w:p>
        </w:tc>
        <w:tc>
          <w:tcPr>
            <w:tcW w:w="3846"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100</w:t>
            </w:r>
          </w:p>
        </w:tc>
        <w:tc>
          <w:tcPr>
            <w:tcW w:w="206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环保投资总概算(万元)</w:t>
            </w:r>
          </w:p>
        </w:tc>
        <w:tc>
          <w:tcPr>
            <w:tcW w:w="246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9</w:t>
            </w:r>
          </w:p>
        </w:tc>
        <w:tc>
          <w:tcPr>
            <w:tcW w:w="210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所占比例（%）</w:t>
            </w:r>
          </w:p>
        </w:tc>
        <w:tc>
          <w:tcPr>
            <w:tcW w:w="258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实际总投资（万元）</w:t>
            </w:r>
          </w:p>
        </w:tc>
        <w:tc>
          <w:tcPr>
            <w:tcW w:w="3846"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100</w:t>
            </w:r>
          </w:p>
        </w:tc>
        <w:tc>
          <w:tcPr>
            <w:tcW w:w="206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实际环保投资 (万元)</w:t>
            </w:r>
          </w:p>
        </w:tc>
        <w:tc>
          <w:tcPr>
            <w:tcW w:w="246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9</w:t>
            </w:r>
          </w:p>
        </w:tc>
        <w:tc>
          <w:tcPr>
            <w:tcW w:w="210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所占比例(%）</w:t>
            </w:r>
          </w:p>
        </w:tc>
        <w:tc>
          <w:tcPr>
            <w:tcW w:w="2589"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70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废水治理（万元）</w:t>
            </w:r>
          </w:p>
        </w:tc>
        <w:tc>
          <w:tcPr>
            <w:tcW w:w="528"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299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废气治理（万元）</w:t>
            </w:r>
          </w:p>
        </w:tc>
        <w:tc>
          <w:tcPr>
            <w:tcW w:w="856"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2.5</w:t>
            </w:r>
          </w:p>
        </w:tc>
        <w:tc>
          <w:tcPr>
            <w:tcW w:w="1529"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噪声治理(万元)</w:t>
            </w:r>
          </w:p>
        </w:tc>
        <w:tc>
          <w:tcPr>
            <w:tcW w:w="540"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w:t>
            </w:r>
          </w:p>
        </w:tc>
        <w:tc>
          <w:tcPr>
            <w:tcW w:w="1995"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固体废物治理（万元）</w:t>
            </w:r>
          </w:p>
        </w:tc>
        <w:tc>
          <w:tcPr>
            <w:tcW w:w="465"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0.5</w:t>
            </w:r>
          </w:p>
        </w:tc>
        <w:tc>
          <w:tcPr>
            <w:tcW w:w="2100" w:type="dxa"/>
            <w:gridSpan w:val="3"/>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绿化及生态（万元 ）</w:t>
            </w:r>
          </w:p>
        </w:tc>
        <w:tc>
          <w:tcPr>
            <w:tcW w:w="967" w:type="dxa"/>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w:t>
            </w:r>
          </w:p>
        </w:tc>
        <w:tc>
          <w:tcPr>
            <w:tcW w:w="1200"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其他</w:t>
            </w:r>
          </w:p>
        </w:tc>
        <w:tc>
          <w:tcPr>
            <w:tcW w:w="422" w:type="dxa"/>
            <w:vAlign w:val="center"/>
          </w:tcPr>
          <w:p>
            <w:pPr>
              <w:spacing w:line="240" w:lineRule="auto"/>
              <w:jc w:val="center"/>
              <w:rPr>
                <w:rFonts w:hint="default" w:ascii="Times New Roman" w:hAnsi="Times New Roman" w:eastAsia="宋体" w:cs="Times New Roman"/>
                <w:color w:val="FF0000"/>
                <w:sz w:val="18"/>
                <w:szCs w:val="18"/>
                <w:highlight w:val="none"/>
                <w:lang w:val="en-US" w:eastAsia="zh-CN"/>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17" w:type="dxa"/>
            <w:vMerge w:val="continue"/>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2228" w:type="dxa"/>
            <w:gridSpan w:val="5"/>
            <w:vAlign w:val="center"/>
          </w:tcPr>
          <w:p>
            <w:pPr>
              <w:spacing w:line="240" w:lineRule="auto"/>
              <w:jc w:val="cente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新增废水处理设施能力</w:t>
            </w:r>
          </w:p>
        </w:tc>
        <w:tc>
          <w:tcPr>
            <w:tcW w:w="3846"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2069"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新增废气处理设施能力</w:t>
            </w:r>
          </w:p>
        </w:tc>
        <w:tc>
          <w:tcPr>
            <w:tcW w:w="2460"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210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年平均工作时间</w:t>
            </w:r>
          </w:p>
        </w:tc>
        <w:tc>
          <w:tcPr>
            <w:tcW w:w="2589" w:type="dxa"/>
            <w:gridSpan w:val="4"/>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2400</w:t>
            </w:r>
            <w:r>
              <w:rPr>
                <w:rFonts w:hint="default" w:ascii="Times New Roman" w:hAnsi="Times New Roman" w:eastAsia="宋体" w:cs="Times New Roman"/>
                <w:color w:val="auto"/>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814"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运营单位</w:t>
            </w:r>
          </w:p>
        </w:tc>
        <w:tc>
          <w:tcPr>
            <w:tcW w:w="2617" w:type="dxa"/>
            <w:gridSpan w:val="5"/>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新乡市永华机械有限公司</w:t>
            </w:r>
            <w:r>
              <w:rPr>
                <w:rFonts w:hint="default" w:ascii="Times New Roman" w:hAnsi="Times New Roman" w:eastAsia="宋体" w:cs="Times New Roman"/>
                <w:color w:val="auto"/>
                <w:sz w:val="18"/>
                <w:szCs w:val="18"/>
                <w:highlight w:val="none"/>
                <w:lang w:val="en-US" w:eastAsia="zh-CN"/>
              </w:rPr>
              <w:t xml:space="preserve"> </w:t>
            </w:r>
          </w:p>
        </w:tc>
        <w:tc>
          <w:tcPr>
            <w:tcW w:w="4029" w:type="dxa"/>
            <w:gridSpan w:val="7"/>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运营单位社会统一信用代码(或组织机构代码)</w:t>
            </w:r>
          </w:p>
        </w:tc>
        <w:tc>
          <w:tcPr>
            <w:tcW w:w="2460"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91410781326777610A</w:t>
            </w:r>
          </w:p>
        </w:tc>
        <w:tc>
          <w:tcPr>
            <w:tcW w:w="210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验收时间</w:t>
            </w:r>
          </w:p>
        </w:tc>
        <w:tc>
          <w:tcPr>
            <w:tcW w:w="2589" w:type="dxa"/>
            <w:gridSpan w:val="4"/>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20</w:t>
            </w:r>
            <w:r>
              <w:rPr>
                <w:rFonts w:hint="default" w:ascii="Times New Roman" w:hAnsi="Times New Roman" w:eastAsia="宋体" w:cs="Times New Roman"/>
                <w:color w:val="auto"/>
                <w:sz w:val="18"/>
                <w:szCs w:val="18"/>
                <w:highlight w:val="none"/>
                <w:lang w:val="en-US" w:eastAsia="zh-CN"/>
              </w:rPr>
              <w:t>20</w:t>
            </w:r>
            <w:r>
              <w:rPr>
                <w:rFonts w:hint="eastAsia" w:ascii="Times New Roman" w:hAnsi="Times New Roman" w:eastAsia="宋体" w:cs="Times New Roman"/>
                <w:color w:val="auto"/>
                <w:sz w:val="18"/>
                <w:szCs w:val="18"/>
                <w:highlight w:val="none"/>
                <w:lang w:val="en-US" w:eastAsia="zh-CN"/>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765" w:type="dxa"/>
            <w:gridSpan w:val="2"/>
            <w:vMerge w:val="restart"/>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污染物排放达标与总量控制（工业建设项目详填）</w:t>
            </w: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污染物</w:t>
            </w:r>
          </w:p>
        </w:tc>
        <w:tc>
          <w:tcPr>
            <w:tcW w:w="6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原有排放量(1)</w:t>
            </w:r>
          </w:p>
        </w:tc>
        <w:tc>
          <w:tcPr>
            <w:tcW w:w="12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本期工程实际排放浓度(2)</w:t>
            </w:r>
          </w:p>
        </w:tc>
        <w:tc>
          <w:tcPr>
            <w:tcW w:w="100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本期工程允许排放浓度(3)</w:t>
            </w:r>
          </w:p>
        </w:tc>
        <w:tc>
          <w:tcPr>
            <w:tcW w:w="9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本期工程产生量(4)</w:t>
            </w:r>
          </w:p>
        </w:tc>
        <w:tc>
          <w:tcPr>
            <w:tcW w:w="104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本期工程自身削减量(5)</w:t>
            </w:r>
          </w:p>
        </w:tc>
        <w:tc>
          <w:tcPr>
            <w:tcW w:w="102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本期工程实际排放量(6)</w:t>
            </w:r>
          </w:p>
        </w:tc>
        <w:tc>
          <w:tcPr>
            <w:tcW w:w="13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本期工程核定排放总量(7)</w:t>
            </w:r>
          </w:p>
        </w:tc>
        <w:tc>
          <w:tcPr>
            <w:tcW w:w="114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本期工程“以新带老”削减量(8)</w:t>
            </w:r>
          </w:p>
        </w:tc>
        <w:tc>
          <w:tcPr>
            <w:tcW w:w="11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全厂实际排放总量(9)</w:t>
            </w:r>
          </w:p>
        </w:tc>
        <w:tc>
          <w:tcPr>
            <w:tcW w:w="97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全厂核定排放总量(10)</w:t>
            </w:r>
          </w:p>
        </w:tc>
        <w:tc>
          <w:tcPr>
            <w:tcW w:w="161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区域平衡替代削减量(11)</w:t>
            </w:r>
          </w:p>
        </w:tc>
        <w:tc>
          <w:tcPr>
            <w:tcW w:w="9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废水</w:t>
            </w:r>
          </w:p>
        </w:tc>
        <w:tc>
          <w:tcPr>
            <w:tcW w:w="631"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p>
        </w:tc>
        <w:tc>
          <w:tcPr>
            <w:tcW w:w="1255" w:type="dxa"/>
            <w:vAlign w:val="center"/>
          </w:tcPr>
          <w:p>
            <w:pPr>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rPr>
            </w:pPr>
          </w:p>
        </w:tc>
        <w:tc>
          <w:tcPr>
            <w:tcW w:w="1008"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rPr>
            </w:pP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4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97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COD</w:t>
            </w:r>
          </w:p>
        </w:tc>
        <w:tc>
          <w:tcPr>
            <w:tcW w:w="631"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spacing w:line="240" w:lineRule="auto"/>
              <w:ind w:left="-107" w:leftChars="-51" w:right="-101" w:rightChars="-48"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975" w:type="dxa"/>
            <w:gridSpan w:val="2"/>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氨氮</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975" w:type="dxa"/>
            <w:gridSpan w:val="2"/>
            <w:vAlign w:val="center"/>
          </w:tcPr>
          <w:p>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石油类</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975" w:type="dxa"/>
            <w:gridSpan w:val="2"/>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废气</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08"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14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97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二氧化硫</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7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氮氧化物</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7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780" w:type="dxa"/>
            <w:gridSpan w:val="4"/>
            <w:vAlign w:val="center"/>
          </w:tcPr>
          <w:p>
            <w:pPr>
              <w:spacing w:line="240" w:lineRule="auto"/>
              <w:jc w:val="cente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工业粉尘</w:t>
            </w:r>
          </w:p>
        </w:tc>
        <w:tc>
          <w:tcPr>
            <w:tcW w:w="631"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7.35</w:t>
            </w:r>
          </w:p>
        </w:tc>
        <w:tc>
          <w:tcPr>
            <w:tcW w:w="1008" w:type="dxa"/>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0.9864</w:t>
            </w: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0.9316</w:t>
            </w: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0.0547</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0.0908</w:t>
            </w:r>
          </w:p>
        </w:tc>
        <w:tc>
          <w:tcPr>
            <w:tcW w:w="1140" w:type="dxa"/>
            <w:gridSpan w:val="3"/>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0.6235</w:t>
            </w: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0.0912</w:t>
            </w:r>
          </w:p>
        </w:tc>
        <w:tc>
          <w:tcPr>
            <w:tcW w:w="97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0.5708</w:t>
            </w:r>
          </w:p>
        </w:tc>
        <w:tc>
          <w:tcPr>
            <w:tcW w:w="1618" w:type="dxa"/>
            <w:gridSpan w:val="2"/>
            <w:vAlign w:val="center"/>
          </w:tcPr>
          <w:p>
            <w:pPr>
              <w:spacing w:line="240"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85" w:type="dxa"/>
            <w:gridSpan w:val="2"/>
            <w:vMerge w:val="restart"/>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与项目有关的其他特征污染物</w:t>
            </w:r>
          </w:p>
        </w:tc>
        <w:tc>
          <w:tcPr>
            <w:tcW w:w="595"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氨</w:t>
            </w:r>
          </w:p>
        </w:tc>
        <w:tc>
          <w:tcPr>
            <w:tcW w:w="631" w:type="dxa"/>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c>
          <w:tcPr>
            <w:tcW w:w="97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6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1185" w:type="dxa"/>
            <w:gridSpan w:val="2"/>
            <w:vMerge w:val="continue"/>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95" w:type="dxa"/>
            <w:gridSpan w:val="2"/>
            <w:vAlign w:val="center"/>
          </w:tcPr>
          <w:p>
            <w:pPr>
              <w:spacing w:line="240" w:lineRule="auto"/>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硫化氢</w:t>
            </w:r>
          </w:p>
        </w:tc>
        <w:tc>
          <w:tcPr>
            <w:tcW w:w="631" w:type="dxa"/>
            <w:vAlign w:val="center"/>
          </w:tcPr>
          <w:p>
            <w:pPr>
              <w:spacing w:line="240" w:lineRule="auto"/>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55"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8"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52"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49"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p>
        </w:tc>
        <w:tc>
          <w:tcPr>
            <w:tcW w:w="1020" w:type="dxa"/>
            <w:gridSpan w:val="3"/>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1320" w:type="dxa"/>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40" w:type="dxa"/>
            <w:gridSpan w:val="3"/>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1125" w:type="dxa"/>
            <w:vAlign w:val="center"/>
          </w:tcPr>
          <w:p>
            <w:pPr>
              <w:spacing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975"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618" w:type="dxa"/>
            <w:gridSpan w:val="2"/>
            <w:vAlign w:val="center"/>
          </w:tcPr>
          <w:p>
            <w:pPr>
              <w:spacing w:line="240" w:lineRule="auto"/>
              <w:jc w:val="center"/>
              <w:rPr>
                <w:rFonts w:hint="default" w:ascii="Times New Roman" w:hAnsi="Times New Roman" w:eastAsia="宋体" w:cs="Times New Roman"/>
                <w:color w:val="auto"/>
                <w:sz w:val="18"/>
                <w:szCs w:val="18"/>
                <w:highlight w:val="none"/>
              </w:rPr>
            </w:pPr>
          </w:p>
        </w:tc>
        <w:tc>
          <w:tcPr>
            <w:tcW w:w="971" w:type="dxa"/>
            <w:gridSpan w:val="2"/>
            <w:vAlign w:val="center"/>
          </w:tcPr>
          <w:p>
            <w:pPr>
              <w:spacing w:line="240" w:lineRule="auto"/>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bl>
    <w:p>
      <w:pP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highlight w:val="none"/>
        </w:rPr>
        <mc:AlternateContent>
          <mc:Choice Requires="wps">
            <w:drawing>
              <wp:anchor distT="0" distB="0" distL="114300" distR="114300" simplePos="0" relativeHeight="2094940160" behindDoc="0" locked="0" layoutInCell="1" allowOverlap="1">
                <wp:simplePos x="0" y="0"/>
                <wp:positionH relativeFrom="column">
                  <wp:posOffset>-49530</wp:posOffset>
                </wp:positionH>
                <wp:positionV relativeFrom="paragraph">
                  <wp:posOffset>1270</wp:posOffset>
                </wp:positionV>
                <wp:extent cx="9417050" cy="528955"/>
                <wp:effectExtent l="0" t="0" r="0" b="0"/>
                <wp:wrapNone/>
                <wp:docPr id="36" name="矩形 36"/>
                <wp:cNvGraphicFramePr/>
                <a:graphic xmlns:a="http://schemas.openxmlformats.org/drawingml/2006/main">
                  <a:graphicData uri="http://schemas.microsoft.com/office/word/2010/wordprocessingShape">
                    <wps:wsp>
                      <wps:cNvSpPr/>
                      <wps:spPr>
                        <a:xfrm>
                          <a:off x="414655" y="6734810"/>
                          <a:ext cx="9417050"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pt;margin-top:0.1pt;height:41.65pt;width:741.5pt;z-index:2094940160;v-text-anchor:middle;mso-width-relative:page;mso-height-relative:page;" filled="f" stroked="f" coordsize="21600,21600" o:gfxdata="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F2sSN1QAAAAcBAAAPAAAAAAAAAAEAIAAAACIAAABkcnMvZG93bnJldi54bWxQ&#10;SwECFAAUAAAACACHTuJATQDNIWwCAAC6BAAADgAAAAAAAAABACAAAAAkAQAAZHJzL2Uyb0RvYy54&#10;bWxQSwUGAAAAAAYABgBZAQAAAgYAAAAA&#10;">
                <v:fill on="f" focussize="0,0"/>
                <v:stroke on="f" weight="1pt" miterlimit="8" joinstyle="miter"/>
                <v:imagedata o:title=""/>
                <o:lock v:ext="edit" aspectratio="f"/>
                <v:textbox>
                  <w:txbxContent>
                    <w:p>
                      <w:pPr>
                        <w:ind w:firstLine="360" w:firstLineChars="200"/>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r>
        <w:rPr>
          <w:rFonts w:hint="default" w:ascii="Times New Roman" w:hAnsi="Times New Roman" w:eastAsia="宋体" w:cs="Times New Roman"/>
          <w:sz w:val="18"/>
          <w:szCs w:val="18"/>
          <w:highlight w:val="none"/>
          <w:lang w:val="en-US" w:eastAsia="zh-CN"/>
        </w:rPr>
        <w:t xml:space="preserve">      </w:t>
      </w:r>
    </w:p>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2DB04"/>
    <w:multiLevelType w:val="singleLevel"/>
    <w:tmpl w:val="19F2DB04"/>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07D7"/>
    <w:rsid w:val="00031ADD"/>
    <w:rsid w:val="000462A7"/>
    <w:rsid w:val="000579EA"/>
    <w:rsid w:val="000625A7"/>
    <w:rsid w:val="000641C8"/>
    <w:rsid w:val="000737A4"/>
    <w:rsid w:val="00076D01"/>
    <w:rsid w:val="0008542C"/>
    <w:rsid w:val="0008776D"/>
    <w:rsid w:val="00097CD8"/>
    <w:rsid w:val="000A384F"/>
    <w:rsid w:val="000A412E"/>
    <w:rsid w:val="000A7A75"/>
    <w:rsid w:val="000B2FED"/>
    <w:rsid w:val="000B37AF"/>
    <w:rsid w:val="000D7387"/>
    <w:rsid w:val="000E4225"/>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04F69"/>
    <w:rsid w:val="00422D48"/>
    <w:rsid w:val="00477552"/>
    <w:rsid w:val="004867D3"/>
    <w:rsid w:val="004A1EC7"/>
    <w:rsid w:val="004A58BE"/>
    <w:rsid w:val="004A644D"/>
    <w:rsid w:val="004A7E3F"/>
    <w:rsid w:val="004B7F2A"/>
    <w:rsid w:val="004C0F09"/>
    <w:rsid w:val="004C65E9"/>
    <w:rsid w:val="004C6B43"/>
    <w:rsid w:val="004D162A"/>
    <w:rsid w:val="004E0C7B"/>
    <w:rsid w:val="004E6B64"/>
    <w:rsid w:val="00506F89"/>
    <w:rsid w:val="00534AB2"/>
    <w:rsid w:val="00542DA3"/>
    <w:rsid w:val="005547FF"/>
    <w:rsid w:val="0055688F"/>
    <w:rsid w:val="00564264"/>
    <w:rsid w:val="00571B8D"/>
    <w:rsid w:val="005749C9"/>
    <w:rsid w:val="005833F1"/>
    <w:rsid w:val="0058433A"/>
    <w:rsid w:val="00592DA8"/>
    <w:rsid w:val="005A5BFE"/>
    <w:rsid w:val="005C53AD"/>
    <w:rsid w:val="005F77DE"/>
    <w:rsid w:val="00604C96"/>
    <w:rsid w:val="00606798"/>
    <w:rsid w:val="0060769E"/>
    <w:rsid w:val="00611BEA"/>
    <w:rsid w:val="006137D5"/>
    <w:rsid w:val="00617761"/>
    <w:rsid w:val="00620CCD"/>
    <w:rsid w:val="0063711A"/>
    <w:rsid w:val="006402AF"/>
    <w:rsid w:val="00642562"/>
    <w:rsid w:val="0066434C"/>
    <w:rsid w:val="00685CA5"/>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917F6"/>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81768"/>
    <w:rsid w:val="00B822C7"/>
    <w:rsid w:val="00B8479D"/>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06A9F"/>
    <w:rsid w:val="00D56811"/>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290C"/>
    <w:rsid w:val="00F52B26"/>
    <w:rsid w:val="00F5303B"/>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C7353"/>
    <w:rsid w:val="00FD501E"/>
    <w:rsid w:val="00FD5285"/>
    <w:rsid w:val="00FD5A36"/>
    <w:rsid w:val="00FD62F2"/>
    <w:rsid w:val="00FE07C4"/>
    <w:rsid w:val="00FE69AD"/>
    <w:rsid w:val="01000161"/>
    <w:rsid w:val="012966FA"/>
    <w:rsid w:val="013B497C"/>
    <w:rsid w:val="013E607C"/>
    <w:rsid w:val="014C3E6E"/>
    <w:rsid w:val="014D4733"/>
    <w:rsid w:val="01511159"/>
    <w:rsid w:val="015331D8"/>
    <w:rsid w:val="01557B3E"/>
    <w:rsid w:val="015C2091"/>
    <w:rsid w:val="016261BD"/>
    <w:rsid w:val="016B3A96"/>
    <w:rsid w:val="016D7DC3"/>
    <w:rsid w:val="018067D0"/>
    <w:rsid w:val="0197515C"/>
    <w:rsid w:val="019C32CB"/>
    <w:rsid w:val="01A15105"/>
    <w:rsid w:val="01A355FC"/>
    <w:rsid w:val="01C020A6"/>
    <w:rsid w:val="01D727E4"/>
    <w:rsid w:val="01DB5636"/>
    <w:rsid w:val="01E4499C"/>
    <w:rsid w:val="01F23337"/>
    <w:rsid w:val="021069C5"/>
    <w:rsid w:val="021753BC"/>
    <w:rsid w:val="021D4F60"/>
    <w:rsid w:val="025C78CB"/>
    <w:rsid w:val="027127EA"/>
    <w:rsid w:val="028B2CD3"/>
    <w:rsid w:val="0295689B"/>
    <w:rsid w:val="02BD4DB4"/>
    <w:rsid w:val="02C93ECF"/>
    <w:rsid w:val="02DB6649"/>
    <w:rsid w:val="02E85CE4"/>
    <w:rsid w:val="02F14950"/>
    <w:rsid w:val="030520DB"/>
    <w:rsid w:val="032C7D2E"/>
    <w:rsid w:val="032D3E4B"/>
    <w:rsid w:val="03392B85"/>
    <w:rsid w:val="035E23A5"/>
    <w:rsid w:val="0369588C"/>
    <w:rsid w:val="0377042F"/>
    <w:rsid w:val="03BC1E69"/>
    <w:rsid w:val="03F67D48"/>
    <w:rsid w:val="04093554"/>
    <w:rsid w:val="040F4A87"/>
    <w:rsid w:val="041B6E09"/>
    <w:rsid w:val="0424794E"/>
    <w:rsid w:val="04421753"/>
    <w:rsid w:val="044949DC"/>
    <w:rsid w:val="044A5173"/>
    <w:rsid w:val="0454556D"/>
    <w:rsid w:val="045B37CE"/>
    <w:rsid w:val="04952C3C"/>
    <w:rsid w:val="04AE1AD7"/>
    <w:rsid w:val="0517196D"/>
    <w:rsid w:val="052E7E8A"/>
    <w:rsid w:val="05472E15"/>
    <w:rsid w:val="05513DFC"/>
    <w:rsid w:val="056F5181"/>
    <w:rsid w:val="05826733"/>
    <w:rsid w:val="05A40E65"/>
    <w:rsid w:val="05A863C5"/>
    <w:rsid w:val="05AF3E8D"/>
    <w:rsid w:val="05B247B9"/>
    <w:rsid w:val="05E24658"/>
    <w:rsid w:val="0600034C"/>
    <w:rsid w:val="0603618C"/>
    <w:rsid w:val="062860B4"/>
    <w:rsid w:val="063D6025"/>
    <w:rsid w:val="063E6928"/>
    <w:rsid w:val="0652042F"/>
    <w:rsid w:val="066D7723"/>
    <w:rsid w:val="069F1606"/>
    <w:rsid w:val="06A71325"/>
    <w:rsid w:val="06D3542C"/>
    <w:rsid w:val="0704528D"/>
    <w:rsid w:val="070E02F2"/>
    <w:rsid w:val="074D6AE4"/>
    <w:rsid w:val="07613EFB"/>
    <w:rsid w:val="076466D4"/>
    <w:rsid w:val="07663042"/>
    <w:rsid w:val="076C1E0B"/>
    <w:rsid w:val="076F53F8"/>
    <w:rsid w:val="078118C9"/>
    <w:rsid w:val="079833D8"/>
    <w:rsid w:val="079E4D5B"/>
    <w:rsid w:val="07A76E09"/>
    <w:rsid w:val="07A8328C"/>
    <w:rsid w:val="07FF23C3"/>
    <w:rsid w:val="08174CB7"/>
    <w:rsid w:val="08297BF3"/>
    <w:rsid w:val="086B49FE"/>
    <w:rsid w:val="086D6B19"/>
    <w:rsid w:val="08854A58"/>
    <w:rsid w:val="0899770F"/>
    <w:rsid w:val="08C529E3"/>
    <w:rsid w:val="08DE58ED"/>
    <w:rsid w:val="09391250"/>
    <w:rsid w:val="095F4FAF"/>
    <w:rsid w:val="096F50F5"/>
    <w:rsid w:val="0973144A"/>
    <w:rsid w:val="09870BA2"/>
    <w:rsid w:val="09C818BE"/>
    <w:rsid w:val="09FD22DD"/>
    <w:rsid w:val="0A0B5347"/>
    <w:rsid w:val="0A47434E"/>
    <w:rsid w:val="0A4E5086"/>
    <w:rsid w:val="0A5327BF"/>
    <w:rsid w:val="0A8E47C4"/>
    <w:rsid w:val="0A956A3A"/>
    <w:rsid w:val="0AA0168A"/>
    <w:rsid w:val="0AB17614"/>
    <w:rsid w:val="0AB72BB3"/>
    <w:rsid w:val="0ABC0251"/>
    <w:rsid w:val="0AEA21BA"/>
    <w:rsid w:val="0B2F23C3"/>
    <w:rsid w:val="0B382CB8"/>
    <w:rsid w:val="0B402F6C"/>
    <w:rsid w:val="0B45269F"/>
    <w:rsid w:val="0B6906B9"/>
    <w:rsid w:val="0B7018AF"/>
    <w:rsid w:val="0B7C412E"/>
    <w:rsid w:val="0B840C06"/>
    <w:rsid w:val="0B98380E"/>
    <w:rsid w:val="0B9A72C3"/>
    <w:rsid w:val="0BB31604"/>
    <w:rsid w:val="0BB73270"/>
    <w:rsid w:val="0BC031AD"/>
    <w:rsid w:val="0BC07114"/>
    <w:rsid w:val="0BC82048"/>
    <w:rsid w:val="0BD54547"/>
    <w:rsid w:val="0BDD0EF5"/>
    <w:rsid w:val="0BEB7DC8"/>
    <w:rsid w:val="0C1C5A7C"/>
    <w:rsid w:val="0C2D4097"/>
    <w:rsid w:val="0C2D663A"/>
    <w:rsid w:val="0C6F6632"/>
    <w:rsid w:val="0C8D1E24"/>
    <w:rsid w:val="0C9211F1"/>
    <w:rsid w:val="0C9C0DA6"/>
    <w:rsid w:val="0C9C6D85"/>
    <w:rsid w:val="0CBA0977"/>
    <w:rsid w:val="0CDF3170"/>
    <w:rsid w:val="0D047FB3"/>
    <w:rsid w:val="0D073F0A"/>
    <w:rsid w:val="0D092B49"/>
    <w:rsid w:val="0D0938BA"/>
    <w:rsid w:val="0D2215FE"/>
    <w:rsid w:val="0D3D6067"/>
    <w:rsid w:val="0D6E33A2"/>
    <w:rsid w:val="0D7462F1"/>
    <w:rsid w:val="0D7C109E"/>
    <w:rsid w:val="0D80132A"/>
    <w:rsid w:val="0D835A66"/>
    <w:rsid w:val="0D971013"/>
    <w:rsid w:val="0DA2111E"/>
    <w:rsid w:val="0DBE44CA"/>
    <w:rsid w:val="0DBF3258"/>
    <w:rsid w:val="0DC7736B"/>
    <w:rsid w:val="0DD470C5"/>
    <w:rsid w:val="0DDF3240"/>
    <w:rsid w:val="0DFD2507"/>
    <w:rsid w:val="0E2A6B3A"/>
    <w:rsid w:val="0E4B6C04"/>
    <w:rsid w:val="0E522BE6"/>
    <w:rsid w:val="0E896B0B"/>
    <w:rsid w:val="0EB93714"/>
    <w:rsid w:val="0EC85731"/>
    <w:rsid w:val="0EDB38C3"/>
    <w:rsid w:val="0EE42713"/>
    <w:rsid w:val="0EEA03D7"/>
    <w:rsid w:val="0EF204F1"/>
    <w:rsid w:val="0EF53C68"/>
    <w:rsid w:val="0F044977"/>
    <w:rsid w:val="0F0C2884"/>
    <w:rsid w:val="0F2539CA"/>
    <w:rsid w:val="0F2659EA"/>
    <w:rsid w:val="0F3501F8"/>
    <w:rsid w:val="0F3576AA"/>
    <w:rsid w:val="0F540DA8"/>
    <w:rsid w:val="0F612091"/>
    <w:rsid w:val="0F6E046E"/>
    <w:rsid w:val="0F8B2F0F"/>
    <w:rsid w:val="0F8E5529"/>
    <w:rsid w:val="0FA6177F"/>
    <w:rsid w:val="0FB0487E"/>
    <w:rsid w:val="0FE501DC"/>
    <w:rsid w:val="0FF3721F"/>
    <w:rsid w:val="0FFA2080"/>
    <w:rsid w:val="10085F0E"/>
    <w:rsid w:val="100900D4"/>
    <w:rsid w:val="100E205E"/>
    <w:rsid w:val="100F0EA9"/>
    <w:rsid w:val="101079E8"/>
    <w:rsid w:val="10116E61"/>
    <w:rsid w:val="103A4525"/>
    <w:rsid w:val="10672AB9"/>
    <w:rsid w:val="10712DB4"/>
    <w:rsid w:val="10760B6F"/>
    <w:rsid w:val="107802D7"/>
    <w:rsid w:val="108B0BDF"/>
    <w:rsid w:val="108B3B77"/>
    <w:rsid w:val="108F2527"/>
    <w:rsid w:val="109A7D75"/>
    <w:rsid w:val="10AB4778"/>
    <w:rsid w:val="10DA79E4"/>
    <w:rsid w:val="10FB1D4C"/>
    <w:rsid w:val="10FC3126"/>
    <w:rsid w:val="11025839"/>
    <w:rsid w:val="110B087D"/>
    <w:rsid w:val="11361C22"/>
    <w:rsid w:val="114627C9"/>
    <w:rsid w:val="11484B39"/>
    <w:rsid w:val="114D57E4"/>
    <w:rsid w:val="11AF3E8A"/>
    <w:rsid w:val="11FE77DC"/>
    <w:rsid w:val="12084B37"/>
    <w:rsid w:val="120973B2"/>
    <w:rsid w:val="1213689F"/>
    <w:rsid w:val="12353252"/>
    <w:rsid w:val="123F3EB1"/>
    <w:rsid w:val="12861790"/>
    <w:rsid w:val="12886B57"/>
    <w:rsid w:val="12A16756"/>
    <w:rsid w:val="12BE3FD0"/>
    <w:rsid w:val="12E21F14"/>
    <w:rsid w:val="12E62EBB"/>
    <w:rsid w:val="12E9110F"/>
    <w:rsid w:val="12E94DDA"/>
    <w:rsid w:val="13065E8C"/>
    <w:rsid w:val="134E6BFF"/>
    <w:rsid w:val="135B6C0E"/>
    <w:rsid w:val="135F6A88"/>
    <w:rsid w:val="13711EFB"/>
    <w:rsid w:val="13956C3A"/>
    <w:rsid w:val="13B67E6D"/>
    <w:rsid w:val="13DA7F6F"/>
    <w:rsid w:val="13E2401E"/>
    <w:rsid w:val="13E258A6"/>
    <w:rsid w:val="13FA62C9"/>
    <w:rsid w:val="13FF0545"/>
    <w:rsid w:val="140A0CC6"/>
    <w:rsid w:val="14377471"/>
    <w:rsid w:val="143F2748"/>
    <w:rsid w:val="144958B6"/>
    <w:rsid w:val="14516822"/>
    <w:rsid w:val="14526FAF"/>
    <w:rsid w:val="145E5383"/>
    <w:rsid w:val="146F6E11"/>
    <w:rsid w:val="147E6E1A"/>
    <w:rsid w:val="14984501"/>
    <w:rsid w:val="14A5599F"/>
    <w:rsid w:val="14A66CF6"/>
    <w:rsid w:val="14B13160"/>
    <w:rsid w:val="14BC42D8"/>
    <w:rsid w:val="14BF1136"/>
    <w:rsid w:val="14C770F2"/>
    <w:rsid w:val="14F2328C"/>
    <w:rsid w:val="15023C06"/>
    <w:rsid w:val="150E7FA6"/>
    <w:rsid w:val="15201502"/>
    <w:rsid w:val="15240FA4"/>
    <w:rsid w:val="15587258"/>
    <w:rsid w:val="155C6C13"/>
    <w:rsid w:val="15693A94"/>
    <w:rsid w:val="15727109"/>
    <w:rsid w:val="158E3E5F"/>
    <w:rsid w:val="15C032FF"/>
    <w:rsid w:val="15D3406B"/>
    <w:rsid w:val="15EB43E3"/>
    <w:rsid w:val="15ED324A"/>
    <w:rsid w:val="15F300E9"/>
    <w:rsid w:val="15FE6CA8"/>
    <w:rsid w:val="160E77DA"/>
    <w:rsid w:val="161C0F6B"/>
    <w:rsid w:val="162C3781"/>
    <w:rsid w:val="165E06A9"/>
    <w:rsid w:val="16755648"/>
    <w:rsid w:val="168524C7"/>
    <w:rsid w:val="169A0F68"/>
    <w:rsid w:val="16A83B87"/>
    <w:rsid w:val="16AA2AE2"/>
    <w:rsid w:val="16B61592"/>
    <w:rsid w:val="16D14216"/>
    <w:rsid w:val="16D64742"/>
    <w:rsid w:val="16E1115D"/>
    <w:rsid w:val="16E8110B"/>
    <w:rsid w:val="170B2EA9"/>
    <w:rsid w:val="170B5099"/>
    <w:rsid w:val="1717735D"/>
    <w:rsid w:val="17303F26"/>
    <w:rsid w:val="173C1F26"/>
    <w:rsid w:val="173C7603"/>
    <w:rsid w:val="1740603D"/>
    <w:rsid w:val="174E31AE"/>
    <w:rsid w:val="1751688F"/>
    <w:rsid w:val="17520A02"/>
    <w:rsid w:val="175219F8"/>
    <w:rsid w:val="17662FB4"/>
    <w:rsid w:val="177D275D"/>
    <w:rsid w:val="178721A4"/>
    <w:rsid w:val="17A55526"/>
    <w:rsid w:val="17B16283"/>
    <w:rsid w:val="17C60DC8"/>
    <w:rsid w:val="17CE2470"/>
    <w:rsid w:val="17F67AD7"/>
    <w:rsid w:val="18101E6D"/>
    <w:rsid w:val="181831AC"/>
    <w:rsid w:val="18185512"/>
    <w:rsid w:val="182855CB"/>
    <w:rsid w:val="182B3DAD"/>
    <w:rsid w:val="1839465F"/>
    <w:rsid w:val="18470BEB"/>
    <w:rsid w:val="18532A5E"/>
    <w:rsid w:val="18571D01"/>
    <w:rsid w:val="185D1F8C"/>
    <w:rsid w:val="18614699"/>
    <w:rsid w:val="1866438E"/>
    <w:rsid w:val="18685E72"/>
    <w:rsid w:val="18890F30"/>
    <w:rsid w:val="1898615B"/>
    <w:rsid w:val="18B021A2"/>
    <w:rsid w:val="18BC63F9"/>
    <w:rsid w:val="18C20D66"/>
    <w:rsid w:val="18EF71D2"/>
    <w:rsid w:val="192951F9"/>
    <w:rsid w:val="19483BF7"/>
    <w:rsid w:val="195940B6"/>
    <w:rsid w:val="195A51CF"/>
    <w:rsid w:val="197548DD"/>
    <w:rsid w:val="19847612"/>
    <w:rsid w:val="19954C21"/>
    <w:rsid w:val="199902E4"/>
    <w:rsid w:val="199966E1"/>
    <w:rsid w:val="19BD4F72"/>
    <w:rsid w:val="19C01A32"/>
    <w:rsid w:val="19E41012"/>
    <w:rsid w:val="19F632B8"/>
    <w:rsid w:val="1A07129D"/>
    <w:rsid w:val="1A0A39FE"/>
    <w:rsid w:val="1A0C2BD7"/>
    <w:rsid w:val="1A137699"/>
    <w:rsid w:val="1A1A1027"/>
    <w:rsid w:val="1A1E62FE"/>
    <w:rsid w:val="1A1F2F1D"/>
    <w:rsid w:val="1A423BFC"/>
    <w:rsid w:val="1A564CD4"/>
    <w:rsid w:val="1A645301"/>
    <w:rsid w:val="1A9515A9"/>
    <w:rsid w:val="1AA122C1"/>
    <w:rsid w:val="1AA12CED"/>
    <w:rsid w:val="1AB440D3"/>
    <w:rsid w:val="1AB62570"/>
    <w:rsid w:val="1AD835E0"/>
    <w:rsid w:val="1AF54C15"/>
    <w:rsid w:val="1AF77540"/>
    <w:rsid w:val="1B050385"/>
    <w:rsid w:val="1B0752BD"/>
    <w:rsid w:val="1B081C9F"/>
    <w:rsid w:val="1B120C93"/>
    <w:rsid w:val="1B427E65"/>
    <w:rsid w:val="1B757B03"/>
    <w:rsid w:val="1B86716B"/>
    <w:rsid w:val="1B941974"/>
    <w:rsid w:val="1B975476"/>
    <w:rsid w:val="1B9D494A"/>
    <w:rsid w:val="1BAB1ABE"/>
    <w:rsid w:val="1BE47552"/>
    <w:rsid w:val="1BF34E25"/>
    <w:rsid w:val="1BFC3452"/>
    <w:rsid w:val="1C223970"/>
    <w:rsid w:val="1C2314FB"/>
    <w:rsid w:val="1C300746"/>
    <w:rsid w:val="1C392A75"/>
    <w:rsid w:val="1C7B0FE6"/>
    <w:rsid w:val="1C8359A5"/>
    <w:rsid w:val="1C894480"/>
    <w:rsid w:val="1C9D49CE"/>
    <w:rsid w:val="1CAD66F8"/>
    <w:rsid w:val="1CBD6D8E"/>
    <w:rsid w:val="1CDD1306"/>
    <w:rsid w:val="1CFF0B90"/>
    <w:rsid w:val="1D0D07E3"/>
    <w:rsid w:val="1D101B8E"/>
    <w:rsid w:val="1D111D1A"/>
    <w:rsid w:val="1D230E0C"/>
    <w:rsid w:val="1D247C34"/>
    <w:rsid w:val="1D260684"/>
    <w:rsid w:val="1D417455"/>
    <w:rsid w:val="1D645A4A"/>
    <w:rsid w:val="1D792B35"/>
    <w:rsid w:val="1D937913"/>
    <w:rsid w:val="1DA75ECB"/>
    <w:rsid w:val="1DB244B5"/>
    <w:rsid w:val="1DD62F29"/>
    <w:rsid w:val="1E1025BA"/>
    <w:rsid w:val="1E110005"/>
    <w:rsid w:val="1E360EA8"/>
    <w:rsid w:val="1E484E6A"/>
    <w:rsid w:val="1E6061F3"/>
    <w:rsid w:val="1E744FBE"/>
    <w:rsid w:val="1E7D07C8"/>
    <w:rsid w:val="1EBB4394"/>
    <w:rsid w:val="1EBF2C2E"/>
    <w:rsid w:val="1EC34677"/>
    <w:rsid w:val="1ECA119B"/>
    <w:rsid w:val="1ED7744D"/>
    <w:rsid w:val="1ED817A1"/>
    <w:rsid w:val="1EDC1023"/>
    <w:rsid w:val="1EF81916"/>
    <w:rsid w:val="1EFD4FC5"/>
    <w:rsid w:val="1EFF3CD9"/>
    <w:rsid w:val="1F164FF3"/>
    <w:rsid w:val="1F1C3A31"/>
    <w:rsid w:val="1F3033DB"/>
    <w:rsid w:val="1F336711"/>
    <w:rsid w:val="1F372B49"/>
    <w:rsid w:val="1F61286B"/>
    <w:rsid w:val="1F65119C"/>
    <w:rsid w:val="1F68144B"/>
    <w:rsid w:val="1F6D4C2F"/>
    <w:rsid w:val="1F827FE3"/>
    <w:rsid w:val="1FCF2FEF"/>
    <w:rsid w:val="1FD665A1"/>
    <w:rsid w:val="1FEA2FBC"/>
    <w:rsid w:val="1FEC2169"/>
    <w:rsid w:val="1FF70182"/>
    <w:rsid w:val="1FFB0B33"/>
    <w:rsid w:val="200D3BD5"/>
    <w:rsid w:val="20291266"/>
    <w:rsid w:val="203B2560"/>
    <w:rsid w:val="205E6218"/>
    <w:rsid w:val="206D46A1"/>
    <w:rsid w:val="2075498B"/>
    <w:rsid w:val="207B1597"/>
    <w:rsid w:val="207E3B21"/>
    <w:rsid w:val="20C75E56"/>
    <w:rsid w:val="20CF731C"/>
    <w:rsid w:val="20D7651E"/>
    <w:rsid w:val="20E90BD1"/>
    <w:rsid w:val="20F41131"/>
    <w:rsid w:val="21161AF5"/>
    <w:rsid w:val="211F43E8"/>
    <w:rsid w:val="215346A0"/>
    <w:rsid w:val="21545DB3"/>
    <w:rsid w:val="216E67B7"/>
    <w:rsid w:val="217773B9"/>
    <w:rsid w:val="218A4E4B"/>
    <w:rsid w:val="218E2BAB"/>
    <w:rsid w:val="21A75E60"/>
    <w:rsid w:val="21AC74D3"/>
    <w:rsid w:val="21BE2624"/>
    <w:rsid w:val="21ED3D07"/>
    <w:rsid w:val="220009A2"/>
    <w:rsid w:val="221E67DF"/>
    <w:rsid w:val="224B6A06"/>
    <w:rsid w:val="224E43C8"/>
    <w:rsid w:val="225E6B4F"/>
    <w:rsid w:val="22677CAA"/>
    <w:rsid w:val="22703ECE"/>
    <w:rsid w:val="22895D81"/>
    <w:rsid w:val="228F4466"/>
    <w:rsid w:val="2292052D"/>
    <w:rsid w:val="22950DB8"/>
    <w:rsid w:val="229D2793"/>
    <w:rsid w:val="23021246"/>
    <w:rsid w:val="230C0361"/>
    <w:rsid w:val="23230A91"/>
    <w:rsid w:val="23235A55"/>
    <w:rsid w:val="23305404"/>
    <w:rsid w:val="233244A4"/>
    <w:rsid w:val="23674ACC"/>
    <w:rsid w:val="236E54DB"/>
    <w:rsid w:val="236F11A4"/>
    <w:rsid w:val="238C0665"/>
    <w:rsid w:val="238C4A2D"/>
    <w:rsid w:val="239C5792"/>
    <w:rsid w:val="23AC1610"/>
    <w:rsid w:val="23D9376B"/>
    <w:rsid w:val="23DA7B27"/>
    <w:rsid w:val="23E17AD3"/>
    <w:rsid w:val="23E44FFE"/>
    <w:rsid w:val="23EC0AEA"/>
    <w:rsid w:val="23F35C30"/>
    <w:rsid w:val="23FD34FE"/>
    <w:rsid w:val="24000EC7"/>
    <w:rsid w:val="241078AE"/>
    <w:rsid w:val="24110311"/>
    <w:rsid w:val="24245F59"/>
    <w:rsid w:val="242623C3"/>
    <w:rsid w:val="242F4C7B"/>
    <w:rsid w:val="24331F90"/>
    <w:rsid w:val="24620762"/>
    <w:rsid w:val="249D437D"/>
    <w:rsid w:val="24AA45A0"/>
    <w:rsid w:val="24BE5D7A"/>
    <w:rsid w:val="24C376DA"/>
    <w:rsid w:val="24D6727F"/>
    <w:rsid w:val="24EE0184"/>
    <w:rsid w:val="24FE2B79"/>
    <w:rsid w:val="25071844"/>
    <w:rsid w:val="250D5BE2"/>
    <w:rsid w:val="251431A0"/>
    <w:rsid w:val="252D5C41"/>
    <w:rsid w:val="25344259"/>
    <w:rsid w:val="25371855"/>
    <w:rsid w:val="253F6E30"/>
    <w:rsid w:val="25650FA8"/>
    <w:rsid w:val="256D7D5A"/>
    <w:rsid w:val="256F23A2"/>
    <w:rsid w:val="257223AB"/>
    <w:rsid w:val="258B5ACF"/>
    <w:rsid w:val="25AC5CC1"/>
    <w:rsid w:val="25B153E1"/>
    <w:rsid w:val="25D96D37"/>
    <w:rsid w:val="25E51F13"/>
    <w:rsid w:val="25F408A4"/>
    <w:rsid w:val="26062D51"/>
    <w:rsid w:val="261555A6"/>
    <w:rsid w:val="261C3CD2"/>
    <w:rsid w:val="263C40AC"/>
    <w:rsid w:val="26612A10"/>
    <w:rsid w:val="268C56AB"/>
    <w:rsid w:val="269355B3"/>
    <w:rsid w:val="26944B77"/>
    <w:rsid w:val="26975EE6"/>
    <w:rsid w:val="26A66978"/>
    <w:rsid w:val="2704221C"/>
    <w:rsid w:val="272B29CD"/>
    <w:rsid w:val="272D32C4"/>
    <w:rsid w:val="27472C05"/>
    <w:rsid w:val="27565483"/>
    <w:rsid w:val="27620253"/>
    <w:rsid w:val="276B29A1"/>
    <w:rsid w:val="276B3AFC"/>
    <w:rsid w:val="277D1D46"/>
    <w:rsid w:val="279372BC"/>
    <w:rsid w:val="279B79F9"/>
    <w:rsid w:val="279C4744"/>
    <w:rsid w:val="27A0001A"/>
    <w:rsid w:val="27A256EA"/>
    <w:rsid w:val="27C95BE0"/>
    <w:rsid w:val="27D052E9"/>
    <w:rsid w:val="27D2737E"/>
    <w:rsid w:val="27E525CF"/>
    <w:rsid w:val="27FB593F"/>
    <w:rsid w:val="28204BD7"/>
    <w:rsid w:val="28364601"/>
    <w:rsid w:val="283F2283"/>
    <w:rsid w:val="2869578B"/>
    <w:rsid w:val="28717F19"/>
    <w:rsid w:val="2879317D"/>
    <w:rsid w:val="2879514C"/>
    <w:rsid w:val="28A10B19"/>
    <w:rsid w:val="28B0100A"/>
    <w:rsid w:val="28DF5ED4"/>
    <w:rsid w:val="290F5DAC"/>
    <w:rsid w:val="29260104"/>
    <w:rsid w:val="294E5FA8"/>
    <w:rsid w:val="295029B0"/>
    <w:rsid w:val="29614EA6"/>
    <w:rsid w:val="29694F07"/>
    <w:rsid w:val="29811799"/>
    <w:rsid w:val="298A19E2"/>
    <w:rsid w:val="299422F0"/>
    <w:rsid w:val="29967B4C"/>
    <w:rsid w:val="29A51720"/>
    <w:rsid w:val="29C775CF"/>
    <w:rsid w:val="29CF6CE7"/>
    <w:rsid w:val="29DA1B7C"/>
    <w:rsid w:val="29E313DE"/>
    <w:rsid w:val="29E87C92"/>
    <w:rsid w:val="29EE39E1"/>
    <w:rsid w:val="29F3053F"/>
    <w:rsid w:val="2A0E02F6"/>
    <w:rsid w:val="2A305AC7"/>
    <w:rsid w:val="2A686FBA"/>
    <w:rsid w:val="2A880608"/>
    <w:rsid w:val="2AAF3104"/>
    <w:rsid w:val="2AB87EB7"/>
    <w:rsid w:val="2ABF6BDC"/>
    <w:rsid w:val="2AC9653C"/>
    <w:rsid w:val="2ACC026D"/>
    <w:rsid w:val="2AD229E4"/>
    <w:rsid w:val="2AE053A9"/>
    <w:rsid w:val="2AF04FD9"/>
    <w:rsid w:val="2AF675F1"/>
    <w:rsid w:val="2B3E62F4"/>
    <w:rsid w:val="2B4D407F"/>
    <w:rsid w:val="2B4D61FA"/>
    <w:rsid w:val="2B6573BA"/>
    <w:rsid w:val="2B8955AC"/>
    <w:rsid w:val="2BA97F7A"/>
    <w:rsid w:val="2BB22212"/>
    <w:rsid w:val="2BB824D5"/>
    <w:rsid w:val="2BD24588"/>
    <w:rsid w:val="2C0352C0"/>
    <w:rsid w:val="2C090E61"/>
    <w:rsid w:val="2C2B7A7C"/>
    <w:rsid w:val="2C39469A"/>
    <w:rsid w:val="2C3B0867"/>
    <w:rsid w:val="2C445EF9"/>
    <w:rsid w:val="2C453F30"/>
    <w:rsid w:val="2C4604C2"/>
    <w:rsid w:val="2C565992"/>
    <w:rsid w:val="2C6F3393"/>
    <w:rsid w:val="2C7777D3"/>
    <w:rsid w:val="2C9F34F2"/>
    <w:rsid w:val="2C9F3CCB"/>
    <w:rsid w:val="2CA1374C"/>
    <w:rsid w:val="2CAA1498"/>
    <w:rsid w:val="2CAB69F6"/>
    <w:rsid w:val="2CB84E28"/>
    <w:rsid w:val="2CEF4AFE"/>
    <w:rsid w:val="2D0C39B3"/>
    <w:rsid w:val="2D2D27C8"/>
    <w:rsid w:val="2D4D3C58"/>
    <w:rsid w:val="2D6B6587"/>
    <w:rsid w:val="2D7B59DE"/>
    <w:rsid w:val="2D7C7DFB"/>
    <w:rsid w:val="2D8035E3"/>
    <w:rsid w:val="2D8560D1"/>
    <w:rsid w:val="2DAA459C"/>
    <w:rsid w:val="2DB67B5B"/>
    <w:rsid w:val="2DCC1A7E"/>
    <w:rsid w:val="2DD83BFE"/>
    <w:rsid w:val="2DDB0456"/>
    <w:rsid w:val="2DE77BB7"/>
    <w:rsid w:val="2E0A241A"/>
    <w:rsid w:val="2E120CC9"/>
    <w:rsid w:val="2E185F55"/>
    <w:rsid w:val="2E2A6657"/>
    <w:rsid w:val="2E380C05"/>
    <w:rsid w:val="2E387243"/>
    <w:rsid w:val="2E421127"/>
    <w:rsid w:val="2E585B30"/>
    <w:rsid w:val="2E6C0BF6"/>
    <w:rsid w:val="2E7D691E"/>
    <w:rsid w:val="2E801EE3"/>
    <w:rsid w:val="2EAE6E8E"/>
    <w:rsid w:val="2EBD7E94"/>
    <w:rsid w:val="2EBE6234"/>
    <w:rsid w:val="2EC119EE"/>
    <w:rsid w:val="2EF45C6D"/>
    <w:rsid w:val="2F0F030D"/>
    <w:rsid w:val="2F141CE1"/>
    <w:rsid w:val="2F2702FA"/>
    <w:rsid w:val="2F2E7132"/>
    <w:rsid w:val="2F2F21AF"/>
    <w:rsid w:val="2F3D4FA6"/>
    <w:rsid w:val="2F512F60"/>
    <w:rsid w:val="2F6563B9"/>
    <w:rsid w:val="2F77298B"/>
    <w:rsid w:val="2F7B6F14"/>
    <w:rsid w:val="2F937D81"/>
    <w:rsid w:val="2F9F4BCB"/>
    <w:rsid w:val="2FB15E01"/>
    <w:rsid w:val="2FB37729"/>
    <w:rsid w:val="2FB6637D"/>
    <w:rsid w:val="2FCD6656"/>
    <w:rsid w:val="2FDC6351"/>
    <w:rsid w:val="2FE62AFE"/>
    <w:rsid w:val="2FEC0E51"/>
    <w:rsid w:val="30592C30"/>
    <w:rsid w:val="305B6913"/>
    <w:rsid w:val="307005B5"/>
    <w:rsid w:val="30724C34"/>
    <w:rsid w:val="30787AD8"/>
    <w:rsid w:val="307A61BD"/>
    <w:rsid w:val="30845983"/>
    <w:rsid w:val="309C5D3B"/>
    <w:rsid w:val="309F708A"/>
    <w:rsid w:val="30AE09F9"/>
    <w:rsid w:val="30D3026F"/>
    <w:rsid w:val="3124670B"/>
    <w:rsid w:val="31283CE1"/>
    <w:rsid w:val="312A435C"/>
    <w:rsid w:val="312A4A45"/>
    <w:rsid w:val="314570D5"/>
    <w:rsid w:val="3149064C"/>
    <w:rsid w:val="31575E23"/>
    <w:rsid w:val="31782CF4"/>
    <w:rsid w:val="318F5A59"/>
    <w:rsid w:val="31C41209"/>
    <w:rsid w:val="31DE05BB"/>
    <w:rsid w:val="31EC0B08"/>
    <w:rsid w:val="320C2C0D"/>
    <w:rsid w:val="321C152A"/>
    <w:rsid w:val="32275D36"/>
    <w:rsid w:val="323A1299"/>
    <w:rsid w:val="324007B4"/>
    <w:rsid w:val="324E229A"/>
    <w:rsid w:val="3260291A"/>
    <w:rsid w:val="3270431D"/>
    <w:rsid w:val="328A0002"/>
    <w:rsid w:val="328C1D80"/>
    <w:rsid w:val="32B03438"/>
    <w:rsid w:val="32BF0256"/>
    <w:rsid w:val="32D63B95"/>
    <w:rsid w:val="32DD5D32"/>
    <w:rsid w:val="32F73837"/>
    <w:rsid w:val="33000B51"/>
    <w:rsid w:val="33395F0E"/>
    <w:rsid w:val="33474DF5"/>
    <w:rsid w:val="335160F2"/>
    <w:rsid w:val="335A3845"/>
    <w:rsid w:val="33936BED"/>
    <w:rsid w:val="33B607CF"/>
    <w:rsid w:val="3403096D"/>
    <w:rsid w:val="34104C65"/>
    <w:rsid w:val="341802AE"/>
    <w:rsid w:val="34206C0A"/>
    <w:rsid w:val="3421259B"/>
    <w:rsid w:val="343343ED"/>
    <w:rsid w:val="34347C3E"/>
    <w:rsid w:val="343B5263"/>
    <w:rsid w:val="344F6C7D"/>
    <w:rsid w:val="34567E50"/>
    <w:rsid w:val="34605B69"/>
    <w:rsid w:val="34675E1B"/>
    <w:rsid w:val="347144EC"/>
    <w:rsid w:val="34875229"/>
    <w:rsid w:val="34884E99"/>
    <w:rsid w:val="34912BCE"/>
    <w:rsid w:val="34934FC8"/>
    <w:rsid w:val="34A95943"/>
    <w:rsid w:val="34D52B04"/>
    <w:rsid w:val="34DB1662"/>
    <w:rsid w:val="34DE0258"/>
    <w:rsid w:val="34E00F7C"/>
    <w:rsid w:val="34EB2C1A"/>
    <w:rsid w:val="34EE7C9E"/>
    <w:rsid w:val="350A0AD8"/>
    <w:rsid w:val="35310FAF"/>
    <w:rsid w:val="353E3419"/>
    <w:rsid w:val="3547660C"/>
    <w:rsid w:val="354A2D73"/>
    <w:rsid w:val="356D600F"/>
    <w:rsid w:val="357212CA"/>
    <w:rsid w:val="35BD4874"/>
    <w:rsid w:val="35EF0509"/>
    <w:rsid w:val="36163988"/>
    <w:rsid w:val="361B354C"/>
    <w:rsid w:val="36260B57"/>
    <w:rsid w:val="364A2A26"/>
    <w:rsid w:val="366431D2"/>
    <w:rsid w:val="36692680"/>
    <w:rsid w:val="366F5091"/>
    <w:rsid w:val="36701729"/>
    <w:rsid w:val="367705A6"/>
    <w:rsid w:val="36945B69"/>
    <w:rsid w:val="36AC2452"/>
    <w:rsid w:val="36B353F2"/>
    <w:rsid w:val="36BB3685"/>
    <w:rsid w:val="36C5536A"/>
    <w:rsid w:val="36C83318"/>
    <w:rsid w:val="36D4175F"/>
    <w:rsid w:val="36D64376"/>
    <w:rsid w:val="36DC320F"/>
    <w:rsid w:val="36F5504C"/>
    <w:rsid w:val="36FB54FB"/>
    <w:rsid w:val="37014AD6"/>
    <w:rsid w:val="37097DF6"/>
    <w:rsid w:val="371A07A4"/>
    <w:rsid w:val="377E5623"/>
    <w:rsid w:val="37874E73"/>
    <w:rsid w:val="378D7E7C"/>
    <w:rsid w:val="37924678"/>
    <w:rsid w:val="379C6DB6"/>
    <w:rsid w:val="37B11D3E"/>
    <w:rsid w:val="37C12598"/>
    <w:rsid w:val="37E504E7"/>
    <w:rsid w:val="380F7E34"/>
    <w:rsid w:val="384D01FA"/>
    <w:rsid w:val="38534318"/>
    <w:rsid w:val="388078CE"/>
    <w:rsid w:val="3889768A"/>
    <w:rsid w:val="388C3A0E"/>
    <w:rsid w:val="38993B46"/>
    <w:rsid w:val="38BC79A1"/>
    <w:rsid w:val="38C85E3B"/>
    <w:rsid w:val="38D62E71"/>
    <w:rsid w:val="38E845BB"/>
    <w:rsid w:val="38ED3FFA"/>
    <w:rsid w:val="38EF077A"/>
    <w:rsid w:val="39087F5B"/>
    <w:rsid w:val="390A1DCB"/>
    <w:rsid w:val="391D60C4"/>
    <w:rsid w:val="392615B0"/>
    <w:rsid w:val="393A7288"/>
    <w:rsid w:val="39471EDA"/>
    <w:rsid w:val="39473B9E"/>
    <w:rsid w:val="394F0665"/>
    <w:rsid w:val="39544559"/>
    <w:rsid w:val="395649B4"/>
    <w:rsid w:val="396363D6"/>
    <w:rsid w:val="39764A57"/>
    <w:rsid w:val="398C15F8"/>
    <w:rsid w:val="399E657A"/>
    <w:rsid w:val="39AE6180"/>
    <w:rsid w:val="39CC65D2"/>
    <w:rsid w:val="39D81A9A"/>
    <w:rsid w:val="39E72B70"/>
    <w:rsid w:val="39EF2086"/>
    <w:rsid w:val="39FF7E31"/>
    <w:rsid w:val="3A0E14F6"/>
    <w:rsid w:val="3A2E286A"/>
    <w:rsid w:val="3A614BEA"/>
    <w:rsid w:val="3A6B000C"/>
    <w:rsid w:val="3A774C07"/>
    <w:rsid w:val="3A840E84"/>
    <w:rsid w:val="3A870847"/>
    <w:rsid w:val="3A945F4F"/>
    <w:rsid w:val="3A9A1595"/>
    <w:rsid w:val="3AB268A8"/>
    <w:rsid w:val="3ACD1C61"/>
    <w:rsid w:val="3ACE2CBD"/>
    <w:rsid w:val="3AD11043"/>
    <w:rsid w:val="3AD53490"/>
    <w:rsid w:val="3AD61946"/>
    <w:rsid w:val="3AEC404B"/>
    <w:rsid w:val="3AF456FE"/>
    <w:rsid w:val="3B5E2898"/>
    <w:rsid w:val="3B6608E4"/>
    <w:rsid w:val="3B713BD8"/>
    <w:rsid w:val="3B804A3A"/>
    <w:rsid w:val="3B871001"/>
    <w:rsid w:val="3BD50C36"/>
    <w:rsid w:val="3BEB6598"/>
    <w:rsid w:val="3BFC4570"/>
    <w:rsid w:val="3C037B65"/>
    <w:rsid w:val="3C1319A4"/>
    <w:rsid w:val="3C14697A"/>
    <w:rsid w:val="3C161561"/>
    <w:rsid w:val="3C382504"/>
    <w:rsid w:val="3C3C62D2"/>
    <w:rsid w:val="3C4720FC"/>
    <w:rsid w:val="3C813483"/>
    <w:rsid w:val="3C941B81"/>
    <w:rsid w:val="3C952CA1"/>
    <w:rsid w:val="3CEA2031"/>
    <w:rsid w:val="3CEE3F37"/>
    <w:rsid w:val="3CF00C29"/>
    <w:rsid w:val="3D013409"/>
    <w:rsid w:val="3D0D63CC"/>
    <w:rsid w:val="3D171A22"/>
    <w:rsid w:val="3D1B161A"/>
    <w:rsid w:val="3D31187B"/>
    <w:rsid w:val="3D56161C"/>
    <w:rsid w:val="3D5B578C"/>
    <w:rsid w:val="3D651901"/>
    <w:rsid w:val="3D7479A4"/>
    <w:rsid w:val="3D7A221F"/>
    <w:rsid w:val="3DA644C5"/>
    <w:rsid w:val="3DD1420E"/>
    <w:rsid w:val="3E073002"/>
    <w:rsid w:val="3E24536A"/>
    <w:rsid w:val="3E46728F"/>
    <w:rsid w:val="3E7123A0"/>
    <w:rsid w:val="3E8A014E"/>
    <w:rsid w:val="3EB55DAB"/>
    <w:rsid w:val="3EB90970"/>
    <w:rsid w:val="3EC94581"/>
    <w:rsid w:val="3ED74F14"/>
    <w:rsid w:val="3EEE2D27"/>
    <w:rsid w:val="3EF558E7"/>
    <w:rsid w:val="3F4344CF"/>
    <w:rsid w:val="3F5C0272"/>
    <w:rsid w:val="3F6A0704"/>
    <w:rsid w:val="3F725534"/>
    <w:rsid w:val="3F7C1E23"/>
    <w:rsid w:val="3F7D3E13"/>
    <w:rsid w:val="3F833BBB"/>
    <w:rsid w:val="3F8C6BD3"/>
    <w:rsid w:val="3F985ABE"/>
    <w:rsid w:val="3FA25D62"/>
    <w:rsid w:val="3FAA17F2"/>
    <w:rsid w:val="3FB71280"/>
    <w:rsid w:val="3FE90F9D"/>
    <w:rsid w:val="3FF726E6"/>
    <w:rsid w:val="3FFB32BA"/>
    <w:rsid w:val="401439F9"/>
    <w:rsid w:val="402746BF"/>
    <w:rsid w:val="403A16AC"/>
    <w:rsid w:val="4040282C"/>
    <w:rsid w:val="404543EC"/>
    <w:rsid w:val="404E0996"/>
    <w:rsid w:val="404E5234"/>
    <w:rsid w:val="40637AC6"/>
    <w:rsid w:val="409B7B8B"/>
    <w:rsid w:val="40A02623"/>
    <w:rsid w:val="40DB4617"/>
    <w:rsid w:val="40E15E59"/>
    <w:rsid w:val="40F37F79"/>
    <w:rsid w:val="40FD0417"/>
    <w:rsid w:val="41002158"/>
    <w:rsid w:val="410125AA"/>
    <w:rsid w:val="410A346A"/>
    <w:rsid w:val="41211175"/>
    <w:rsid w:val="4129126A"/>
    <w:rsid w:val="41333B2D"/>
    <w:rsid w:val="413D090C"/>
    <w:rsid w:val="41406CE9"/>
    <w:rsid w:val="416C707D"/>
    <w:rsid w:val="418739E3"/>
    <w:rsid w:val="418C2CDD"/>
    <w:rsid w:val="419A302A"/>
    <w:rsid w:val="419B0D77"/>
    <w:rsid w:val="41A8738E"/>
    <w:rsid w:val="41AB3C81"/>
    <w:rsid w:val="41CF3D0D"/>
    <w:rsid w:val="41D82C74"/>
    <w:rsid w:val="41E304B0"/>
    <w:rsid w:val="41E42363"/>
    <w:rsid w:val="41EE5249"/>
    <w:rsid w:val="41F2310A"/>
    <w:rsid w:val="41FA73E4"/>
    <w:rsid w:val="420C4800"/>
    <w:rsid w:val="4210242E"/>
    <w:rsid w:val="421212BB"/>
    <w:rsid w:val="4231676C"/>
    <w:rsid w:val="42400714"/>
    <w:rsid w:val="424071BB"/>
    <w:rsid w:val="42781CD0"/>
    <w:rsid w:val="4289538E"/>
    <w:rsid w:val="42945B10"/>
    <w:rsid w:val="429B24D6"/>
    <w:rsid w:val="429C5741"/>
    <w:rsid w:val="42B775DA"/>
    <w:rsid w:val="42BB084B"/>
    <w:rsid w:val="42D33020"/>
    <w:rsid w:val="42DF7CAB"/>
    <w:rsid w:val="42E951FE"/>
    <w:rsid w:val="42F846BC"/>
    <w:rsid w:val="43206568"/>
    <w:rsid w:val="43430C0B"/>
    <w:rsid w:val="43570ACD"/>
    <w:rsid w:val="435C757B"/>
    <w:rsid w:val="438B3BEE"/>
    <w:rsid w:val="43915CFA"/>
    <w:rsid w:val="439225E1"/>
    <w:rsid w:val="439D62F2"/>
    <w:rsid w:val="43A3501F"/>
    <w:rsid w:val="43B418D0"/>
    <w:rsid w:val="43B747FC"/>
    <w:rsid w:val="43CA702B"/>
    <w:rsid w:val="43D715E4"/>
    <w:rsid w:val="43FA3A16"/>
    <w:rsid w:val="43FD0972"/>
    <w:rsid w:val="440B3EB7"/>
    <w:rsid w:val="440D2EDA"/>
    <w:rsid w:val="441850C6"/>
    <w:rsid w:val="443F433E"/>
    <w:rsid w:val="444C5133"/>
    <w:rsid w:val="446A194D"/>
    <w:rsid w:val="44786695"/>
    <w:rsid w:val="44787996"/>
    <w:rsid w:val="44942464"/>
    <w:rsid w:val="44B75A9B"/>
    <w:rsid w:val="45067C09"/>
    <w:rsid w:val="45104579"/>
    <w:rsid w:val="451248BC"/>
    <w:rsid w:val="451917A6"/>
    <w:rsid w:val="451E7CC4"/>
    <w:rsid w:val="452E1B75"/>
    <w:rsid w:val="454639DB"/>
    <w:rsid w:val="454F7FF0"/>
    <w:rsid w:val="455E5706"/>
    <w:rsid w:val="45710477"/>
    <w:rsid w:val="45771D13"/>
    <w:rsid w:val="457764D1"/>
    <w:rsid w:val="457A6BA8"/>
    <w:rsid w:val="45B06278"/>
    <w:rsid w:val="45C84DC0"/>
    <w:rsid w:val="45D867A1"/>
    <w:rsid w:val="46062CE5"/>
    <w:rsid w:val="460C6AB9"/>
    <w:rsid w:val="46211EA8"/>
    <w:rsid w:val="46356ACC"/>
    <w:rsid w:val="463D5324"/>
    <w:rsid w:val="465758F8"/>
    <w:rsid w:val="465908DE"/>
    <w:rsid w:val="468363D5"/>
    <w:rsid w:val="46867E5D"/>
    <w:rsid w:val="46892A70"/>
    <w:rsid w:val="469456CB"/>
    <w:rsid w:val="46A86DCB"/>
    <w:rsid w:val="46B30A07"/>
    <w:rsid w:val="46C03728"/>
    <w:rsid w:val="46E73590"/>
    <w:rsid w:val="4709761E"/>
    <w:rsid w:val="47304E99"/>
    <w:rsid w:val="47343ADA"/>
    <w:rsid w:val="475F36B2"/>
    <w:rsid w:val="475F52D4"/>
    <w:rsid w:val="478B551E"/>
    <w:rsid w:val="478C2549"/>
    <w:rsid w:val="479729BD"/>
    <w:rsid w:val="47A7781A"/>
    <w:rsid w:val="47AF4178"/>
    <w:rsid w:val="47B96B50"/>
    <w:rsid w:val="47CB66D0"/>
    <w:rsid w:val="47CF14B9"/>
    <w:rsid w:val="47E85841"/>
    <w:rsid w:val="481777EF"/>
    <w:rsid w:val="481E4C61"/>
    <w:rsid w:val="482F2CFE"/>
    <w:rsid w:val="485303D4"/>
    <w:rsid w:val="48610FA1"/>
    <w:rsid w:val="48716A04"/>
    <w:rsid w:val="48730E05"/>
    <w:rsid w:val="48737E17"/>
    <w:rsid w:val="489F2CFA"/>
    <w:rsid w:val="48A327D8"/>
    <w:rsid w:val="48A45639"/>
    <w:rsid w:val="48B93305"/>
    <w:rsid w:val="48BA0D86"/>
    <w:rsid w:val="48BE0483"/>
    <w:rsid w:val="48C5501D"/>
    <w:rsid w:val="48D54243"/>
    <w:rsid w:val="490C6B17"/>
    <w:rsid w:val="491A5EA8"/>
    <w:rsid w:val="49651ED4"/>
    <w:rsid w:val="49653CA7"/>
    <w:rsid w:val="497F0D87"/>
    <w:rsid w:val="49805A0E"/>
    <w:rsid w:val="498C2F24"/>
    <w:rsid w:val="49A01556"/>
    <w:rsid w:val="49A4207B"/>
    <w:rsid w:val="49AA5B01"/>
    <w:rsid w:val="49BA634D"/>
    <w:rsid w:val="49D06F10"/>
    <w:rsid w:val="49D652BD"/>
    <w:rsid w:val="49E255EA"/>
    <w:rsid w:val="49E61D74"/>
    <w:rsid w:val="49EC5C9D"/>
    <w:rsid w:val="49F626EC"/>
    <w:rsid w:val="49FB5580"/>
    <w:rsid w:val="4A013766"/>
    <w:rsid w:val="4A071ABA"/>
    <w:rsid w:val="4A262CD8"/>
    <w:rsid w:val="4A2A337C"/>
    <w:rsid w:val="4A525263"/>
    <w:rsid w:val="4A857848"/>
    <w:rsid w:val="4A9163D5"/>
    <w:rsid w:val="4ACF6286"/>
    <w:rsid w:val="4AD16613"/>
    <w:rsid w:val="4AD87397"/>
    <w:rsid w:val="4AF71830"/>
    <w:rsid w:val="4B000B0F"/>
    <w:rsid w:val="4B0A0B9F"/>
    <w:rsid w:val="4B164A67"/>
    <w:rsid w:val="4B574337"/>
    <w:rsid w:val="4B5C41B2"/>
    <w:rsid w:val="4B6818A0"/>
    <w:rsid w:val="4B7B5C97"/>
    <w:rsid w:val="4B8F5DF7"/>
    <w:rsid w:val="4BB21ED8"/>
    <w:rsid w:val="4BC7026E"/>
    <w:rsid w:val="4BFE2841"/>
    <w:rsid w:val="4C057066"/>
    <w:rsid w:val="4C0617DE"/>
    <w:rsid w:val="4C07696F"/>
    <w:rsid w:val="4C35716D"/>
    <w:rsid w:val="4C381D78"/>
    <w:rsid w:val="4C436B27"/>
    <w:rsid w:val="4C4574BE"/>
    <w:rsid w:val="4C4A6FB3"/>
    <w:rsid w:val="4C761AF6"/>
    <w:rsid w:val="4C801FC4"/>
    <w:rsid w:val="4C85645F"/>
    <w:rsid w:val="4C8B3D78"/>
    <w:rsid w:val="4CB838BA"/>
    <w:rsid w:val="4CCA6E53"/>
    <w:rsid w:val="4CD1127A"/>
    <w:rsid w:val="4CD675F7"/>
    <w:rsid w:val="4CE360B3"/>
    <w:rsid w:val="4CE43AC6"/>
    <w:rsid w:val="4CE91324"/>
    <w:rsid w:val="4CED0151"/>
    <w:rsid w:val="4CEF2F23"/>
    <w:rsid w:val="4CEF6EE3"/>
    <w:rsid w:val="4CFB5AD4"/>
    <w:rsid w:val="4D08361A"/>
    <w:rsid w:val="4D21087C"/>
    <w:rsid w:val="4D3445C5"/>
    <w:rsid w:val="4D3C05E3"/>
    <w:rsid w:val="4D5610D7"/>
    <w:rsid w:val="4D5D375E"/>
    <w:rsid w:val="4D9641CE"/>
    <w:rsid w:val="4DA36BFD"/>
    <w:rsid w:val="4DA845D1"/>
    <w:rsid w:val="4DB01400"/>
    <w:rsid w:val="4DB93F21"/>
    <w:rsid w:val="4DC776AE"/>
    <w:rsid w:val="4DE67DC2"/>
    <w:rsid w:val="4DE93A23"/>
    <w:rsid w:val="4DF638F5"/>
    <w:rsid w:val="4E016B6B"/>
    <w:rsid w:val="4E306659"/>
    <w:rsid w:val="4E583F0E"/>
    <w:rsid w:val="4E5B132E"/>
    <w:rsid w:val="4E601E3F"/>
    <w:rsid w:val="4E6C153F"/>
    <w:rsid w:val="4E73769C"/>
    <w:rsid w:val="4E8647BE"/>
    <w:rsid w:val="4E981861"/>
    <w:rsid w:val="4EAD09AF"/>
    <w:rsid w:val="4EB17A60"/>
    <w:rsid w:val="4EBA5EF2"/>
    <w:rsid w:val="4EBC6581"/>
    <w:rsid w:val="4EC04B00"/>
    <w:rsid w:val="4EF5746A"/>
    <w:rsid w:val="4F060E5A"/>
    <w:rsid w:val="4F1C433B"/>
    <w:rsid w:val="4F1F0DD3"/>
    <w:rsid w:val="4F2D03FA"/>
    <w:rsid w:val="4F350946"/>
    <w:rsid w:val="4F3C2D17"/>
    <w:rsid w:val="4F400F61"/>
    <w:rsid w:val="4F463813"/>
    <w:rsid w:val="4F710108"/>
    <w:rsid w:val="4F721BBB"/>
    <w:rsid w:val="4F950DCC"/>
    <w:rsid w:val="4FBA3F6D"/>
    <w:rsid w:val="4FC55E28"/>
    <w:rsid w:val="4FCB3C10"/>
    <w:rsid w:val="4FD606B0"/>
    <w:rsid w:val="4FE975DB"/>
    <w:rsid w:val="502B20DB"/>
    <w:rsid w:val="50610EDC"/>
    <w:rsid w:val="508610A7"/>
    <w:rsid w:val="509B6422"/>
    <w:rsid w:val="50A17EC1"/>
    <w:rsid w:val="50B26946"/>
    <w:rsid w:val="50BA7751"/>
    <w:rsid w:val="50F6242C"/>
    <w:rsid w:val="50F6651A"/>
    <w:rsid w:val="5107162A"/>
    <w:rsid w:val="51100541"/>
    <w:rsid w:val="5123480F"/>
    <w:rsid w:val="513F4405"/>
    <w:rsid w:val="51441D96"/>
    <w:rsid w:val="51715276"/>
    <w:rsid w:val="517C242A"/>
    <w:rsid w:val="517D0105"/>
    <w:rsid w:val="51996D6B"/>
    <w:rsid w:val="51AD70E3"/>
    <w:rsid w:val="51BA5C94"/>
    <w:rsid w:val="51BF3324"/>
    <w:rsid w:val="51C22FCD"/>
    <w:rsid w:val="51C64F77"/>
    <w:rsid w:val="51F25FB7"/>
    <w:rsid w:val="51FB202D"/>
    <w:rsid w:val="5203034C"/>
    <w:rsid w:val="52150574"/>
    <w:rsid w:val="5218005D"/>
    <w:rsid w:val="521C7341"/>
    <w:rsid w:val="52282F34"/>
    <w:rsid w:val="5232454E"/>
    <w:rsid w:val="52363991"/>
    <w:rsid w:val="5251047A"/>
    <w:rsid w:val="526408BB"/>
    <w:rsid w:val="52644D44"/>
    <w:rsid w:val="52A00AC5"/>
    <w:rsid w:val="52AF09BA"/>
    <w:rsid w:val="52BB02BF"/>
    <w:rsid w:val="52BE1B17"/>
    <w:rsid w:val="52BE1EE1"/>
    <w:rsid w:val="52C64521"/>
    <w:rsid w:val="52CF382A"/>
    <w:rsid w:val="52E36503"/>
    <w:rsid w:val="52FC0033"/>
    <w:rsid w:val="52FC7731"/>
    <w:rsid w:val="53054E4C"/>
    <w:rsid w:val="533D290C"/>
    <w:rsid w:val="5375784B"/>
    <w:rsid w:val="537D7934"/>
    <w:rsid w:val="53845942"/>
    <w:rsid w:val="53996D4B"/>
    <w:rsid w:val="53B007DE"/>
    <w:rsid w:val="53B437E1"/>
    <w:rsid w:val="53B67E06"/>
    <w:rsid w:val="53DD714C"/>
    <w:rsid w:val="53F97125"/>
    <w:rsid w:val="54344007"/>
    <w:rsid w:val="545C2C03"/>
    <w:rsid w:val="547F4696"/>
    <w:rsid w:val="54930EE4"/>
    <w:rsid w:val="54935D4F"/>
    <w:rsid w:val="54940BAD"/>
    <w:rsid w:val="54D46C3C"/>
    <w:rsid w:val="54E61CA7"/>
    <w:rsid w:val="550A47CF"/>
    <w:rsid w:val="5521204B"/>
    <w:rsid w:val="552E67EC"/>
    <w:rsid w:val="55350B58"/>
    <w:rsid w:val="553571E4"/>
    <w:rsid w:val="55441688"/>
    <w:rsid w:val="5555231A"/>
    <w:rsid w:val="55771099"/>
    <w:rsid w:val="557C5E7A"/>
    <w:rsid w:val="558813C6"/>
    <w:rsid w:val="55A208DD"/>
    <w:rsid w:val="55AB726F"/>
    <w:rsid w:val="55B57006"/>
    <w:rsid w:val="55B97A18"/>
    <w:rsid w:val="55E762E0"/>
    <w:rsid w:val="55F92847"/>
    <w:rsid w:val="55FE58EA"/>
    <w:rsid w:val="5614545C"/>
    <w:rsid w:val="561B6CF7"/>
    <w:rsid w:val="56565CFC"/>
    <w:rsid w:val="565D6F82"/>
    <w:rsid w:val="565E41A2"/>
    <w:rsid w:val="566D2196"/>
    <w:rsid w:val="566F0D56"/>
    <w:rsid w:val="56705506"/>
    <w:rsid w:val="56772551"/>
    <w:rsid w:val="56815B75"/>
    <w:rsid w:val="56A03354"/>
    <w:rsid w:val="56B533B7"/>
    <w:rsid w:val="56B742F9"/>
    <w:rsid w:val="56C24CFE"/>
    <w:rsid w:val="56C5264E"/>
    <w:rsid w:val="56CA582C"/>
    <w:rsid w:val="56D04C98"/>
    <w:rsid w:val="56D5191A"/>
    <w:rsid w:val="56E54AA6"/>
    <w:rsid w:val="56ED2008"/>
    <w:rsid w:val="57012628"/>
    <w:rsid w:val="5709636B"/>
    <w:rsid w:val="57104CD6"/>
    <w:rsid w:val="57305B68"/>
    <w:rsid w:val="574B3205"/>
    <w:rsid w:val="576A430A"/>
    <w:rsid w:val="57737639"/>
    <w:rsid w:val="577E0548"/>
    <w:rsid w:val="57B8457F"/>
    <w:rsid w:val="57C32FB6"/>
    <w:rsid w:val="57DC3BAC"/>
    <w:rsid w:val="57E83683"/>
    <w:rsid w:val="580B6C73"/>
    <w:rsid w:val="58114C9A"/>
    <w:rsid w:val="58475B38"/>
    <w:rsid w:val="584F071F"/>
    <w:rsid w:val="58525A53"/>
    <w:rsid w:val="587332EC"/>
    <w:rsid w:val="588A6D30"/>
    <w:rsid w:val="58922002"/>
    <w:rsid w:val="589A6474"/>
    <w:rsid w:val="58AC0FEF"/>
    <w:rsid w:val="58BE0B73"/>
    <w:rsid w:val="58BE49CD"/>
    <w:rsid w:val="58C81733"/>
    <w:rsid w:val="591A6452"/>
    <w:rsid w:val="59246131"/>
    <w:rsid w:val="594F4E01"/>
    <w:rsid w:val="59644760"/>
    <w:rsid w:val="597C1FC8"/>
    <w:rsid w:val="598D6829"/>
    <w:rsid w:val="59962321"/>
    <w:rsid w:val="59A67186"/>
    <w:rsid w:val="59B77ABA"/>
    <w:rsid w:val="59C715C8"/>
    <w:rsid w:val="59F14EAC"/>
    <w:rsid w:val="5A1F47F9"/>
    <w:rsid w:val="5A2A6C34"/>
    <w:rsid w:val="5A373F29"/>
    <w:rsid w:val="5A54542D"/>
    <w:rsid w:val="5A5D084B"/>
    <w:rsid w:val="5AA1358D"/>
    <w:rsid w:val="5AB570D4"/>
    <w:rsid w:val="5AC541E8"/>
    <w:rsid w:val="5AD20769"/>
    <w:rsid w:val="5AD61ED6"/>
    <w:rsid w:val="5AFE0C6D"/>
    <w:rsid w:val="5B2C3C8B"/>
    <w:rsid w:val="5B2F794F"/>
    <w:rsid w:val="5B4248EA"/>
    <w:rsid w:val="5B4D30B5"/>
    <w:rsid w:val="5B567E95"/>
    <w:rsid w:val="5B7842E3"/>
    <w:rsid w:val="5B87164C"/>
    <w:rsid w:val="5B9318C4"/>
    <w:rsid w:val="5BA032C3"/>
    <w:rsid w:val="5BA61B60"/>
    <w:rsid w:val="5BAA3CFC"/>
    <w:rsid w:val="5BFC1FD2"/>
    <w:rsid w:val="5BFE2D71"/>
    <w:rsid w:val="5C34703E"/>
    <w:rsid w:val="5C367915"/>
    <w:rsid w:val="5C3F603E"/>
    <w:rsid w:val="5C437FBE"/>
    <w:rsid w:val="5C4C2C83"/>
    <w:rsid w:val="5C5E055F"/>
    <w:rsid w:val="5C6A705D"/>
    <w:rsid w:val="5C89791A"/>
    <w:rsid w:val="5C913153"/>
    <w:rsid w:val="5CA917D6"/>
    <w:rsid w:val="5CD91F65"/>
    <w:rsid w:val="5CDC1B10"/>
    <w:rsid w:val="5CEA5FC5"/>
    <w:rsid w:val="5CF169A5"/>
    <w:rsid w:val="5CFE303B"/>
    <w:rsid w:val="5D09166B"/>
    <w:rsid w:val="5D0B7C18"/>
    <w:rsid w:val="5D1D5063"/>
    <w:rsid w:val="5D1F6795"/>
    <w:rsid w:val="5D2F6329"/>
    <w:rsid w:val="5D4E4104"/>
    <w:rsid w:val="5D535D71"/>
    <w:rsid w:val="5D5A6022"/>
    <w:rsid w:val="5D643EFB"/>
    <w:rsid w:val="5D6D5CFA"/>
    <w:rsid w:val="5D6D671B"/>
    <w:rsid w:val="5D761693"/>
    <w:rsid w:val="5D8A1B21"/>
    <w:rsid w:val="5D8C696F"/>
    <w:rsid w:val="5DA47A5E"/>
    <w:rsid w:val="5DC83D05"/>
    <w:rsid w:val="5DCF7277"/>
    <w:rsid w:val="5E0A16B3"/>
    <w:rsid w:val="5E1106F2"/>
    <w:rsid w:val="5E3064FC"/>
    <w:rsid w:val="5E5A6126"/>
    <w:rsid w:val="5E5E463B"/>
    <w:rsid w:val="5E741322"/>
    <w:rsid w:val="5E7C1C56"/>
    <w:rsid w:val="5E87562C"/>
    <w:rsid w:val="5EA91D69"/>
    <w:rsid w:val="5EB534EC"/>
    <w:rsid w:val="5EEB3D8A"/>
    <w:rsid w:val="5EEF7396"/>
    <w:rsid w:val="5EF52BDE"/>
    <w:rsid w:val="5EF6292F"/>
    <w:rsid w:val="5F324380"/>
    <w:rsid w:val="5F4C01EA"/>
    <w:rsid w:val="5F98216B"/>
    <w:rsid w:val="5F996223"/>
    <w:rsid w:val="5F9B3F7A"/>
    <w:rsid w:val="5FCE2ADD"/>
    <w:rsid w:val="5FD10C96"/>
    <w:rsid w:val="5FDE44BD"/>
    <w:rsid w:val="5FE27256"/>
    <w:rsid w:val="600573F1"/>
    <w:rsid w:val="600E727D"/>
    <w:rsid w:val="60157E79"/>
    <w:rsid w:val="60366E27"/>
    <w:rsid w:val="6073560C"/>
    <w:rsid w:val="60767F1F"/>
    <w:rsid w:val="607C6010"/>
    <w:rsid w:val="608C7679"/>
    <w:rsid w:val="609D5354"/>
    <w:rsid w:val="609E5BB8"/>
    <w:rsid w:val="60A6296D"/>
    <w:rsid w:val="60BF0C0E"/>
    <w:rsid w:val="60CA1D2D"/>
    <w:rsid w:val="60D84B26"/>
    <w:rsid w:val="60EC20B1"/>
    <w:rsid w:val="61061E34"/>
    <w:rsid w:val="610F0AEE"/>
    <w:rsid w:val="61247646"/>
    <w:rsid w:val="612510C3"/>
    <w:rsid w:val="612E482A"/>
    <w:rsid w:val="613074AE"/>
    <w:rsid w:val="61307A6B"/>
    <w:rsid w:val="613745F4"/>
    <w:rsid w:val="615B4DC1"/>
    <w:rsid w:val="616C3343"/>
    <w:rsid w:val="61785488"/>
    <w:rsid w:val="617A045F"/>
    <w:rsid w:val="617A70EA"/>
    <w:rsid w:val="617D6F94"/>
    <w:rsid w:val="61841066"/>
    <w:rsid w:val="619212E4"/>
    <w:rsid w:val="61976049"/>
    <w:rsid w:val="61A77030"/>
    <w:rsid w:val="61B425B1"/>
    <w:rsid w:val="61CB3295"/>
    <w:rsid w:val="61DD7645"/>
    <w:rsid w:val="61E04B4B"/>
    <w:rsid w:val="61E07EFC"/>
    <w:rsid w:val="61E932A8"/>
    <w:rsid w:val="62224E36"/>
    <w:rsid w:val="62397B17"/>
    <w:rsid w:val="623E22D9"/>
    <w:rsid w:val="62676442"/>
    <w:rsid w:val="626E1533"/>
    <w:rsid w:val="62775289"/>
    <w:rsid w:val="62775872"/>
    <w:rsid w:val="62820CAF"/>
    <w:rsid w:val="629053DB"/>
    <w:rsid w:val="62D7787C"/>
    <w:rsid w:val="6304497F"/>
    <w:rsid w:val="633560AC"/>
    <w:rsid w:val="63402411"/>
    <w:rsid w:val="63430449"/>
    <w:rsid w:val="63515097"/>
    <w:rsid w:val="637739F1"/>
    <w:rsid w:val="637B2758"/>
    <w:rsid w:val="63924D12"/>
    <w:rsid w:val="63D26D32"/>
    <w:rsid w:val="63EB3302"/>
    <w:rsid w:val="63EF2BF1"/>
    <w:rsid w:val="63FD7AD2"/>
    <w:rsid w:val="64033570"/>
    <w:rsid w:val="640B50D4"/>
    <w:rsid w:val="64117C99"/>
    <w:rsid w:val="64462826"/>
    <w:rsid w:val="6464642B"/>
    <w:rsid w:val="646F6A4F"/>
    <w:rsid w:val="647A7389"/>
    <w:rsid w:val="647C720E"/>
    <w:rsid w:val="648F3A7A"/>
    <w:rsid w:val="648F6457"/>
    <w:rsid w:val="64A53610"/>
    <w:rsid w:val="64AA1E60"/>
    <w:rsid w:val="64AB7F9E"/>
    <w:rsid w:val="64B37A32"/>
    <w:rsid w:val="64C76DFF"/>
    <w:rsid w:val="64DE44E6"/>
    <w:rsid w:val="64E80797"/>
    <w:rsid w:val="65173658"/>
    <w:rsid w:val="652F0F15"/>
    <w:rsid w:val="653B095C"/>
    <w:rsid w:val="65612ED9"/>
    <w:rsid w:val="656A5E19"/>
    <w:rsid w:val="65771591"/>
    <w:rsid w:val="657870BB"/>
    <w:rsid w:val="657E1309"/>
    <w:rsid w:val="659B6951"/>
    <w:rsid w:val="659C094D"/>
    <w:rsid w:val="65A529AF"/>
    <w:rsid w:val="65A961A2"/>
    <w:rsid w:val="65AA3B73"/>
    <w:rsid w:val="65B0237F"/>
    <w:rsid w:val="65B320FC"/>
    <w:rsid w:val="65D81219"/>
    <w:rsid w:val="65E02D28"/>
    <w:rsid w:val="65F230E7"/>
    <w:rsid w:val="65F80318"/>
    <w:rsid w:val="66384C0C"/>
    <w:rsid w:val="66541483"/>
    <w:rsid w:val="667408B0"/>
    <w:rsid w:val="66A13D62"/>
    <w:rsid w:val="66B275CE"/>
    <w:rsid w:val="66B77EC8"/>
    <w:rsid w:val="66D801A9"/>
    <w:rsid w:val="66DD1242"/>
    <w:rsid w:val="66E8584E"/>
    <w:rsid w:val="66F56309"/>
    <w:rsid w:val="66F9187F"/>
    <w:rsid w:val="670628D2"/>
    <w:rsid w:val="672910B0"/>
    <w:rsid w:val="672B482A"/>
    <w:rsid w:val="672E14CE"/>
    <w:rsid w:val="6744119C"/>
    <w:rsid w:val="676045FB"/>
    <w:rsid w:val="67635CA9"/>
    <w:rsid w:val="67774C70"/>
    <w:rsid w:val="677E51E3"/>
    <w:rsid w:val="67873015"/>
    <w:rsid w:val="679E5FF4"/>
    <w:rsid w:val="67AD0689"/>
    <w:rsid w:val="67BB6492"/>
    <w:rsid w:val="67D345DE"/>
    <w:rsid w:val="683267E0"/>
    <w:rsid w:val="68467804"/>
    <w:rsid w:val="684F565A"/>
    <w:rsid w:val="68531284"/>
    <w:rsid w:val="685B666D"/>
    <w:rsid w:val="687F5C29"/>
    <w:rsid w:val="68BC643E"/>
    <w:rsid w:val="68C55203"/>
    <w:rsid w:val="692310C3"/>
    <w:rsid w:val="693C2AFC"/>
    <w:rsid w:val="69422573"/>
    <w:rsid w:val="69491E1E"/>
    <w:rsid w:val="69796B72"/>
    <w:rsid w:val="69834AD0"/>
    <w:rsid w:val="69B06110"/>
    <w:rsid w:val="69F727D3"/>
    <w:rsid w:val="69FD55A4"/>
    <w:rsid w:val="69FE3A99"/>
    <w:rsid w:val="6A0F3686"/>
    <w:rsid w:val="6A1350E1"/>
    <w:rsid w:val="6A1C0AB9"/>
    <w:rsid w:val="6A2126F7"/>
    <w:rsid w:val="6A240089"/>
    <w:rsid w:val="6A391CEA"/>
    <w:rsid w:val="6A4469E9"/>
    <w:rsid w:val="6A4852E0"/>
    <w:rsid w:val="6A4B16E5"/>
    <w:rsid w:val="6A5D60D4"/>
    <w:rsid w:val="6A5F4A7F"/>
    <w:rsid w:val="6A72664A"/>
    <w:rsid w:val="6A9F450C"/>
    <w:rsid w:val="6AB51963"/>
    <w:rsid w:val="6AB779B5"/>
    <w:rsid w:val="6ACA3CA7"/>
    <w:rsid w:val="6ACE57E8"/>
    <w:rsid w:val="6AF937EF"/>
    <w:rsid w:val="6B281A7E"/>
    <w:rsid w:val="6B5769C4"/>
    <w:rsid w:val="6B930A6B"/>
    <w:rsid w:val="6BA6718F"/>
    <w:rsid w:val="6BC91D86"/>
    <w:rsid w:val="6BE32B05"/>
    <w:rsid w:val="6BF61098"/>
    <w:rsid w:val="6C4D1A67"/>
    <w:rsid w:val="6C517EF4"/>
    <w:rsid w:val="6C522FC2"/>
    <w:rsid w:val="6C741A51"/>
    <w:rsid w:val="6C79252B"/>
    <w:rsid w:val="6C792A1B"/>
    <w:rsid w:val="6C907C1C"/>
    <w:rsid w:val="6C945D9A"/>
    <w:rsid w:val="6CBD0FDD"/>
    <w:rsid w:val="6CCF3110"/>
    <w:rsid w:val="6D1B2F9F"/>
    <w:rsid w:val="6D35430C"/>
    <w:rsid w:val="6D3D1491"/>
    <w:rsid w:val="6D6045E6"/>
    <w:rsid w:val="6D70360F"/>
    <w:rsid w:val="6D995E97"/>
    <w:rsid w:val="6D9D5DED"/>
    <w:rsid w:val="6D9E5BA3"/>
    <w:rsid w:val="6DA0624B"/>
    <w:rsid w:val="6DBB3760"/>
    <w:rsid w:val="6DBB3DA8"/>
    <w:rsid w:val="6DC32D44"/>
    <w:rsid w:val="6DC8697D"/>
    <w:rsid w:val="6DCE5687"/>
    <w:rsid w:val="6DD54E14"/>
    <w:rsid w:val="6DDE46B6"/>
    <w:rsid w:val="6DEA49AD"/>
    <w:rsid w:val="6E1F632C"/>
    <w:rsid w:val="6E2122B7"/>
    <w:rsid w:val="6E2559E1"/>
    <w:rsid w:val="6E4A0B45"/>
    <w:rsid w:val="6E4E182D"/>
    <w:rsid w:val="6E610D6E"/>
    <w:rsid w:val="6E632C54"/>
    <w:rsid w:val="6E71001B"/>
    <w:rsid w:val="6E7271BD"/>
    <w:rsid w:val="6E831982"/>
    <w:rsid w:val="6E8F0DAA"/>
    <w:rsid w:val="6EA53B43"/>
    <w:rsid w:val="6ED6546C"/>
    <w:rsid w:val="6EDC0AA5"/>
    <w:rsid w:val="6EEB615C"/>
    <w:rsid w:val="6F281DE2"/>
    <w:rsid w:val="6F400B23"/>
    <w:rsid w:val="6F467D5D"/>
    <w:rsid w:val="6F5279A9"/>
    <w:rsid w:val="6F8467E9"/>
    <w:rsid w:val="6F9C45CF"/>
    <w:rsid w:val="6FB073FA"/>
    <w:rsid w:val="6FC14FF2"/>
    <w:rsid w:val="6FC37AD1"/>
    <w:rsid w:val="6FE9484E"/>
    <w:rsid w:val="6FF92B88"/>
    <w:rsid w:val="700B1E79"/>
    <w:rsid w:val="701C31CD"/>
    <w:rsid w:val="702204EF"/>
    <w:rsid w:val="702A645D"/>
    <w:rsid w:val="704E72D9"/>
    <w:rsid w:val="70BA7B6B"/>
    <w:rsid w:val="70C373B0"/>
    <w:rsid w:val="70F45465"/>
    <w:rsid w:val="711379EE"/>
    <w:rsid w:val="713A145E"/>
    <w:rsid w:val="713D4901"/>
    <w:rsid w:val="713F32BF"/>
    <w:rsid w:val="714503FD"/>
    <w:rsid w:val="716D794E"/>
    <w:rsid w:val="717A7EDB"/>
    <w:rsid w:val="717E4A19"/>
    <w:rsid w:val="71862D5F"/>
    <w:rsid w:val="71A470F5"/>
    <w:rsid w:val="71B70363"/>
    <w:rsid w:val="71B951D8"/>
    <w:rsid w:val="71C2029D"/>
    <w:rsid w:val="71CB51BA"/>
    <w:rsid w:val="71D559A9"/>
    <w:rsid w:val="72095152"/>
    <w:rsid w:val="72171ED7"/>
    <w:rsid w:val="724C2247"/>
    <w:rsid w:val="72634E8C"/>
    <w:rsid w:val="7267398D"/>
    <w:rsid w:val="72794CB2"/>
    <w:rsid w:val="72814E5C"/>
    <w:rsid w:val="72911B08"/>
    <w:rsid w:val="72936878"/>
    <w:rsid w:val="73104918"/>
    <w:rsid w:val="73332F4F"/>
    <w:rsid w:val="733712BF"/>
    <w:rsid w:val="734563A8"/>
    <w:rsid w:val="73491076"/>
    <w:rsid w:val="734D003F"/>
    <w:rsid w:val="735179A8"/>
    <w:rsid w:val="738F4062"/>
    <w:rsid w:val="73C1109C"/>
    <w:rsid w:val="73D8174B"/>
    <w:rsid w:val="740843D4"/>
    <w:rsid w:val="741874BC"/>
    <w:rsid w:val="744729B1"/>
    <w:rsid w:val="7453583F"/>
    <w:rsid w:val="745B63F1"/>
    <w:rsid w:val="74686F4E"/>
    <w:rsid w:val="747C1721"/>
    <w:rsid w:val="74A76884"/>
    <w:rsid w:val="74B030AF"/>
    <w:rsid w:val="74C1100B"/>
    <w:rsid w:val="74C33175"/>
    <w:rsid w:val="74CE1269"/>
    <w:rsid w:val="74CF632C"/>
    <w:rsid w:val="74E12C75"/>
    <w:rsid w:val="75177FE4"/>
    <w:rsid w:val="7573132A"/>
    <w:rsid w:val="7583125E"/>
    <w:rsid w:val="758C6A1D"/>
    <w:rsid w:val="75AB449F"/>
    <w:rsid w:val="75E0212C"/>
    <w:rsid w:val="75E86BE7"/>
    <w:rsid w:val="75EF4CC6"/>
    <w:rsid w:val="75F262E6"/>
    <w:rsid w:val="760948BD"/>
    <w:rsid w:val="76124AEF"/>
    <w:rsid w:val="761B2B91"/>
    <w:rsid w:val="766A7727"/>
    <w:rsid w:val="767C652D"/>
    <w:rsid w:val="76856469"/>
    <w:rsid w:val="76886B26"/>
    <w:rsid w:val="76A1453E"/>
    <w:rsid w:val="76DD06F0"/>
    <w:rsid w:val="76F2059A"/>
    <w:rsid w:val="77152A29"/>
    <w:rsid w:val="77272D8B"/>
    <w:rsid w:val="773760FC"/>
    <w:rsid w:val="773B0073"/>
    <w:rsid w:val="77477448"/>
    <w:rsid w:val="77502445"/>
    <w:rsid w:val="775332CF"/>
    <w:rsid w:val="77644BB9"/>
    <w:rsid w:val="779259B1"/>
    <w:rsid w:val="779A3A6F"/>
    <w:rsid w:val="77A62046"/>
    <w:rsid w:val="77B93B2F"/>
    <w:rsid w:val="77D605F6"/>
    <w:rsid w:val="77E651FC"/>
    <w:rsid w:val="77F838A7"/>
    <w:rsid w:val="781711C3"/>
    <w:rsid w:val="782904AC"/>
    <w:rsid w:val="7831551C"/>
    <w:rsid w:val="783A7116"/>
    <w:rsid w:val="785A1306"/>
    <w:rsid w:val="7863275C"/>
    <w:rsid w:val="786332D7"/>
    <w:rsid w:val="7868199F"/>
    <w:rsid w:val="787A140D"/>
    <w:rsid w:val="78830361"/>
    <w:rsid w:val="789A6F93"/>
    <w:rsid w:val="78A05A0C"/>
    <w:rsid w:val="78CA03C7"/>
    <w:rsid w:val="78D0599A"/>
    <w:rsid w:val="78D23E9D"/>
    <w:rsid w:val="790D7931"/>
    <w:rsid w:val="79247F18"/>
    <w:rsid w:val="792D1AE7"/>
    <w:rsid w:val="794839E8"/>
    <w:rsid w:val="79655CEB"/>
    <w:rsid w:val="79724AAA"/>
    <w:rsid w:val="79A352A0"/>
    <w:rsid w:val="79B44CC5"/>
    <w:rsid w:val="79BF4EDD"/>
    <w:rsid w:val="79DB4AFF"/>
    <w:rsid w:val="79EE189B"/>
    <w:rsid w:val="79F0134C"/>
    <w:rsid w:val="79F657EB"/>
    <w:rsid w:val="79F833B5"/>
    <w:rsid w:val="7A001144"/>
    <w:rsid w:val="7A03350B"/>
    <w:rsid w:val="7A160149"/>
    <w:rsid w:val="7A1858AD"/>
    <w:rsid w:val="7A4128DC"/>
    <w:rsid w:val="7A5303D5"/>
    <w:rsid w:val="7A5E4E64"/>
    <w:rsid w:val="7A8D129C"/>
    <w:rsid w:val="7AB14E50"/>
    <w:rsid w:val="7AD15001"/>
    <w:rsid w:val="7AD21285"/>
    <w:rsid w:val="7ADF35CF"/>
    <w:rsid w:val="7B146D0A"/>
    <w:rsid w:val="7B1C0ACD"/>
    <w:rsid w:val="7B2B6F83"/>
    <w:rsid w:val="7B3958D6"/>
    <w:rsid w:val="7B455AB7"/>
    <w:rsid w:val="7B4A0CB8"/>
    <w:rsid w:val="7B584072"/>
    <w:rsid w:val="7B592DBE"/>
    <w:rsid w:val="7B6B08A2"/>
    <w:rsid w:val="7B8524C5"/>
    <w:rsid w:val="7B9232B5"/>
    <w:rsid w:val="7B9E72A5"/>
    <w:rsid w:val="7BAB35F8"/>
    <w:rsid w:val="7BC56BC2"/>
    <w:rsid w:val="7BDD6BCF"/>
    <w:rsid w:val="7BDF607D"/>
    <w:rsid w:val="7BE15A32"/>
    <w:rsid w:val="7BED02AC"/>
    <w:rsid w:val="7BEE46C0"/>
    <w:rsid w:val="7BFA447D"/>
    <w:rsid w:val="7C042AD7"/>
    <w:rsid w:val="7C1801F7"/>
    <w:rsid w:val="7C266B73"/>
    <w:rsid w:val="7C415A7A"/>
    <w:rsid w:val="7C42124D"/>
    <w:rsid w:val="7C5E5045"/>
    <w:rsid w:val="7C63236C"/>
    <w:rsid w:val="7C652870"/>
    <w:rsid w:val="7CA23A00"/>
    <w:rsid w:val="7CA34FC7"/>
    <w:rsid w:val="7CCE7DB0"/>
    <w:rsid w:val="7CDA4228"/>
    <w:rsid w:val="7D0D0DF0"/>
    <w:rsid w:val="7D113867"/>
    <w:rsid w:val="7D327E3D"/>
    <w:rsid w:val="7D35504D"/>
    <w:rsid w:val="7D3A2938"/>
    <w:rsid w:val="7D404415"/>
    <w:rsid w:val="7D463CA6"/>
    <w:rsid w:val="7D4851A0"/>
    <w:rsid w:val="7D652A72"/>
    <w:rsid w:val="7D860C1D"/>
    <w:rsid w:val="7D875F9A"/>
    <w:rsid w:val="7D9A3C41"/>
    <w:rsid w:val="7D9C1D5E"/>
    <w:rsid w:val="7DB26CDB"/>
    <w:rsid w:val="7DCF5265"/>
    <w:rsid w:val="7DDB20AE"/>
    <w:rsid w:val="7DDC3237"/>
    <w:rsid w:val="7DF03D5D"/>
    <w:rsid w:val="7DFD146D"/>
    <w:rsid w:val="7E1657DA"/>
    <w:rsid w:val="7E1733EF"/>
    <w:rsid w:val="7E660845"/>
    <w:rsid w:val="7E6C3401"/>
    <w:rsid w:val="7E6C578B"/>
    <w:rsid w:val="7EC9334B"/>
    <w:rsid w:val="7ECE4A9F"/>
    <w:rsid w:val="7EE32E32"/>
    <w:rsid w:val="7EE60C94"/>
    <w:rsid w:val="7EF603B5"/>
    <w:rsid w:val="7F066877"/>
    <w:rsid w:val="7F1C11AF"/>
    <w:rsid w:val="7F3F4917"/>
    <w:rsid w:val="7F4C499D"/>
    <w:rsid w:val="7F731439"/>
    <w:rsid w:val="7F787831"/>
    <w:rsid w:val="7F813D23"/>
    <w:rsid w:val="7F8336DA"/>
    <w:rsid w:val="7F94776F"/>
    <w:rsid w:val="7FB448A9"/>
    <w:rsid w:val="7FE67732"/>
    <w:rsid w:val="7FE96A26"/>
    <w:rsid w:val="7FF861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qFormat/>
    <w:uiPriority w:val="0"/>
    <w:pPr>
      <w:spacing w:line="480" w:lineRule="atLeast"/>
      <w:outlineLvl w:val="0"/>
    </w:pPr>
    <w:rPr>
      <w:rFonts w:ascii="宋体" w:hAnsi="宋体" w:eastAsia="宋体"/>
      <w:b/>
      <w:sz w:val="30"/>
      <w:szCs w:val="30"/>
    </w:rPr>
  </w:style>
  <w:style w:type="paragraph" w:styleId="3">
    <w:name w:val="heading 2"/>
    <w:basedOn w:val="1"/>
    <w:next w:val="1"/>
    <w:link w:val="39"/>
    <w:qFormat/>
    <w:uiPriority w:val="0"/>
    <w:pPr>
      <w:outlineLvl w:val="1"/>
    </w:pPr>
    <w:rPr>
      <w:sz w:val="28"/>
    </w:rPr>
  </w:style>
  <w:style w:type="paragraph" w:styleId="4">
    <w:name w:val="heading 3"/>
    <w:basedOn w:val="1"/>
    <w:next w:val="1"/>
    <w:link w:val="40"/>
    <w:qFormat/>
    <w:uiPriority w:val="0"/>
    <w:pPr>
      <w:spacing w:line="480" w:lineRule="atLeast"/>
      <w:outlineLvl w:val="2"/>
    </w:pPr>
    <w:rPr>
      <w:rFonts w:ascii="宋体" w:hAnsi="宋体" w:eastAsia="宋体"/>
      <w:sz w:val="24"/>
      <w:szCs w:val="24"/>
    </w:rPr>
  </w:style>
  <w:style w:type="paragraph" w:styleId="5">
    <w:name w:val="heading 4"/>
    <w:basedOn w:val="1"/>
    <w:next w:val="1"/>
    <w:link w:val="41"/>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6">
    <w:name w:val="Normal Indent"/>
    <w:basedOn w:val="1"/>
    <w:next w:val="7"/>
    <w:link w:val="67"/>
    <w:qFormat/>
    <w:uiPriority w:val="0"/>
    <w:pPr>
      <w:ind w:firstLine="420" w:firstLineChars="200"/>
    </w:pPr>
    <w:rPr>
      <w:rFonts w:eastAsia="宋体"/>
      <w:szCs w:val="24"/>
    </w:rPr>
  </w:style>
  <w:style w:type="paragraph" w:styleId="7">
    <w:name w:val="Body Text First Indent 2"/>
    <w:basedOn w:val="1"/>
    <w:next w:val="1"/>
    <w:semiHidden/>
    <w:unhideWhenUsed/>
    <w:qFormat/>
    <w:uiPriority w:val="99"/>
    <w:pPr>
      <w:spacing w:after="120"/>
      <w:ind w:left="420" w:leftChars="200" w:firstLine="420"/>
    </w:pPr>
    <w:rPr>
      <w:rFonts w:ascii="Times New Roman" w:hAnsi="Times New Roman" w:eastAsia="宋体"/>
    </w:rPr>
  </w:style>
  <w:style w:type="paragraph" w:styleId="8">
    <w:name w:val="caption"/>
    <w:basedOn w:val="1"/>
    <w:next w:val="1"/>
    <w:link w:val="68"/>
    <w:qFormat/>
    <w:uiPriority w:val="0"/>
    <w:pPr>
      <w:jc w:val="center"/>
    </w:pPr>
    <w:rPr>
      <w:rFonts w:ascii="宋体" w:hAnsi="Arial" w:eastAsia="宋体" w:cs="Arial"/>
    </w:rPr>
  </w:style>
  <w:style w:type="paragraph" w:styleId="9">
    <w:name w:val="Document Map"/>
    <w:basedOn w:val="1"/>
    <w:link w:val="73"/>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50"/>
    <w:qFormat/>
    <w:uiPriority w:val="0"/>
    <w:pPr>
      <w:jc w:val="left"/>
    </w:pPr>
    <w:rPr>
      <w:szCs w:val="24"/>
    </w:rPr>
  </w:style>
  <w:style w:type="paragraph" w:styleId="11">
    <w:name w:val="Body Text 3"/>
    <w:basedOn w:val="1"/>
    <w:link w:val="72"/>
    <w:qFormat/>
    <w:uiPriority w:val="0"/>
    <w:pPr>
      <w:spacing w:after="120"/>
    </w:pPr>
    <w:rPr>
      <w:rFonts w:ascii="Times New Roman" w:hAnsi="Times New Roman" w:eastAsia="宋体" w:cs="Times New Roman"/>
      <w:sz w:val="16"/>
      <w:szCs w:val="16"/>
    </w:rPr>
  </w:style>
  <w:style w:type="paragraph" w:styleId="12">
    <w:name w:val="Body Text"/>
    <w:basedOn w:val="1"/>
    <w:link w:val="76"/>
    <w:qFormat/>
    <w:uiPriority w:val="0"/>
    <w:rPr>
      <w:rFonts w:ascii="Times New Roman" w:hAnsi="Times New Roman" w:eastAsia="宋体" w:cs="Times New Roman"/>
      <w:sz w:val="32"/>
      <w:szCs w:val="20"/>
    </w:rPr>
  </w:style>
  <w:style w:type="paragraph" w:styleId="13">
    <w:name w:val="Body Text Indent"/>
    <w:basedOn w:val="1"/>
    <w:link w:val="77"/>
    <w:qFormat/>
    <w:uiPriority w:val="0"/>
    <w:pPr>
      <w:spacing w:line="300" w:lineRule="exact"/>
      <w:ind w:firstLine="538"/>
    </w:pPr>
    <w:rPr>
      <w:rFonts w:ascii="宋体" w:hAnsi="Times New Roman" w:eastAsia="宋体" w:cs="Times New Roman"/>
      <w:sz w:val="24"/>
      <w:szCs w:val="24"/>
    </w:rPr>
  </w:style>
  <w:style w:type="paragraph" w:styleId="14">
    <w:name w:val="Block Text"/>
    <w:basedOn w:val="1"/>
    <w:next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70"/>
    <w:qFormat/>
    <w:uiPriority w:val="0"/>
    <w:rPr>
      <w:rFonts w:ascii="宋体" w:hAnsi="Courier New" w:eastAsia="宋体"/>
    </w:rPr>
  </w:style>
  <w:style w:type="paragraph" w:styleId="17">
    <w:name w:val="Date"/>
    <w:basedOn w:val="1"/>
    <w:next w:val="1"/>
    <w:link w:val="43"/>
    <w:unhideWhenUsed/>
    <w:qFormat/>
    <w:uiPriority w:val="0"/>
    <w:pPr>
      <w:ind w:left="100" w:leftChars="2500"/>
    </w:pPr>
  </w:style>
  <w:style w:type="paragraph" w:styleId="18">
    <w:name w:val="Body Text Indent 2"/>
    <w:basedOn w:val="1"/>
    <w:link w:val="80"/>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2"/>
    <w:unhideWhenUsed/>
    <w:qFormat/>
    <w:uiPriority w:val="0"/>
    <w:rPr>
      <w:sz w:val="18"/>
      <w:szCs w:val="18"/>
    </w:rPr>
  </w:style>
  <w:style w:type="paragraph" w:styleId="20">
    <w:name w:val="footer"/>
    <w:basedOn w:val="1"/>
    <w:link w:val="45"/>
    <w:unhideWhenUsed/>
    <w:qFormat/>
    <w:uiPriority w:val="99"/>
    <w:pPr>
      <w:tabs>
        <w:tab w:val="center" w:pos="4153"/>
        <w:tab w:val="right" w:pos="8306"/>
      </w:tabs>
      <w:snapToGrid w:val="0"/>
      <w:jc w:val="left"/>
    </w:pPr>
    <w:rPr>
      <w:sz w:val="18"/>
      <w:szCs w:val="18"/>
    </w:rPr>
  </w:style>
  <w:style w:type="paragraph" w:styleId="21">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79"/>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1"/>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10"/>
    <w:next w:val="10"/>
    <w:link w:val="71"/>
    <w:qFormat/>
    <w:uiPriority w:val="0"/>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character" w:customStyle="1" w:styleId="38">
    <w:name w:val="标题 1 Char"/>
    <w:basedOn w:val="32"/>
    <w:link w:val="2"/>
    <w:qFormat/>
    <w:uiPriority w:val="0"/>
    <w:rPr>
      <w:rFonts w:ascii="宋体" w:hAnsi="宋体" w:eastAsia="宋体"/>
      <w:b/>
      <w:sz w:val="30"/>
      <w:szCs w:val="30"/>
    </w:rPr>
  </w:style>
  <w:style w:type="character" w:customStyle="1" w:styleId="39">
    <w:name w:val="标题 2 Char"/>
    <w:basedOn w:val="32"/>
    <w:link w:val="3"/>
    <w:qFormat/>
    <w:uiPriority w:val="0"/>
    <w:rPr>
      <w:rFonts w:ascii="宋体" w:hAnsi="宋体" w:eastAsia="宋体"/>
      <w:b/>
      <w:sz w:val="28"/>
      <w:szCs w:val="30"/>
    </w:rPr>
  </w:style>
  <w:style w:type="character" w:customStyle="1" w:styleId="40">
    <w:name w:val="标题 3 Char"/>
    <w:basedOn w:val="32"/>
    <w:link w:val="4"/>
    <w:qFormat/>
    <w:uiPriority w:val="0"/>
    <w:rPr>
      <w:rFonts w:ascii="宋体" w:hAnsi="宋体" w:eastAsia="宋体"/>
      <w:sz w:val="24"/>
      <w:szCs w:val="24"/>
    </w:rPr>
  </w:style>
  <w:style w:type="character" w:customStyle="1" w:styleId="41">
    <w:name w:val="标题 4 Char"/>
    <w:basedOn w:val="32"/>
    <w:link w:val="5"/>
    <w:qFormat/>
    <w:uiPriority w:val="0"/>
    <w:rPr>
      <w:rFonts w:ascii="Arial" w:hAnsi="Arial" w:eastAsia="黑体" w:cs="Times New Roman"/>
      <w:b/>
      <w:bCs/>
      <w:sz w:val="28"/>
      <w:szCs w:val="28"/>
    </w:rPr>
  </w:style>
  <w:style w:type="character" w:customStyle="1" w:styleId="42">
    <w:name w:val="批注框文本 Char"/>
    <w:basedOn w:val="32"/>
    <w:link w:val="19"/>
    <w:qFormat/>
    <w:uiPriority w:val="0"/>
    <w:rPr>
      <w:sz w:val="18"/>
      <w:szCs w:val="18"/>
    </w:rPr>
  </w:style>
  <w:style w:type="character" w:customStyle="1" w:styleId="43">
    <w:name w:val="日期 Char"/>
    <w:basedOn w:val="32"/>
    <w:link w:val="17"/>
    <w:qFormat/>
    <w:uiPriority w:val="0"/>
  </w:style>
  <w:style w:type="character" w:customStyle="1" w:styleId="44">
    <w:name w:val="页眉 Char"/>
    <w:basedOn w:val="32"/>
    <w:link w:val="21"/>
    <w:qFormat/>
    <w:uiPriority w:val="0"/>
    <w:rPr>
      <w:sz w:val="18"/>
      <w:szCs w:val="18"/>
    </w:rPr>
  </w:style>
  <w:style w:type="character" w:customStyle="1" w:styleId="45">
    <w:name w:val="页脚 Char"/>
    <w:basedOn w:val="32"/>
    <w:link w:val="20"/>
    <w:qFormat/>
    <w:uiPriority w:val="99"/>
    <w:rPr>
      <w:sz w:val="18"/>
      <w:szCs w:val="18"/>
    </w:rPr>
  </w:style>
  <w:style w:type="character" w:customStyle="1" w:styleId="46">
    <w:name w:val="apple-converted-space"/>
    <w:basedOn w:val="32"/>
    <w:qFormat/>
    <w:uiPriority w:val="0"/>
  </w:style>
  <w:style w:type="character" w:customStyle="1" w:styleId="47">
    <w:name w:val="表内容@ Char"/>
    <w:basedOn w:val="32"/>
    <w:link w:val="48"/>
    <w:qFormat/>
    <w:uiPriority w:val="0"/>
    <w:rPr>
      <w:rFonts w:ascii="宋体" w:hAnsi="宋体" w:eastAsia="宋体" w:cs="Arial"/>
      <w:szCs w:val="21"/>
    </w:rPr>
  </w:style>
  <w:style w:type="paragraph" w:customStyle="1" w:styleId="48">
    <w:name w:val="表内容@"/>
    <w:basedOn w:val="1"/>
    <w:link w:val="47"/>
    <w:qFormat/>
    <w:uiPriority w:val="0"/>
    <w:pPr>
      <w:adjustRightInd w:val="0"/>
      <w:jc w:val="center"/>
    </w:pPr>
    <w:rPr>
      <w:rFonts w:ascii="宋体" w:hAnsi="宋体" w:eastAsia="宋体" w:cs="Arial"/>
      <w:szCs w:val="21"/>
    </w:rPr>
  </w:style>
  <w:style w:type="character" w:customStyle="1" w:styleId="49">
    <w:name w:val="t1"/>
    <w:qFormat/>
    <w:uiPriority w:val="0"/>
    <w:rPr>
      <w:sz w:val="28"/>
      <w:szCs w:val="28"/>
    </w:rPr>
  </w:style>
  <w:style w:type="character" w:customStyle="1" w:styleId="50">
    <w:name w:val="批注文字 Char"/>
    <w:basedOn w:val="32"/>
    <w:link w:val="10"/>
    <w:qFormat/>
    <w:uiPriority w:val="0"/>
    <w:rPr>
      <w:szCs w:val="24"/>
    </w:rPr>
  </w:style>
  <w:style w:type="character" w:customStyle="1" w:styleId="51">
    <w:name w:val="样式 正文@ + 首行缩进:  2 字符2 Char"/>
    <w:basedOn w:val="32"/>
    <w:link w:val="52"/>
    <w:qFormat/>
    <w:uiPriority w:val="0"/>
    <w:rPr>
      <w:rFonts w:ascii="宋体" w:hAnsi="宋体" w:eastAsia="宋体" w:cs="宋体"/>
      <w:sz w:val="24"/>
    </w:rPr>
  </w:style>
  <w:style w:type="paragraph" w:customStyle="1" w:styleId="52">
    <w:name w:val="样式 正文@ + 首行缩进:  2 字符2"/>
    <w:basedOn w:val="1"/>
    <w:link w:val="51"/>
    <w:qFormat/>
    <w:uiPriority w:val="0"/>
    <w:pPr>
      <w:spacing w:line="360" w:lineRule="auto"/>
      <w:ind w:firstLine="480" w:firstLineChars="200"/>
    </w:pPr>
    <w:rPr>
      <w:rFonts w:ascii="宋体" w:hAnsi="宋体" w:eastAsia="宋体" w:cs="宋体"/>
      <w:sz w:val="24"/>
    </w:rPr>
  </w:style>
  <w:style w:type="character" w:customStyle="1" w:styleId="53">
    <w:name w:val="样式 样式 正文@ + 首行缩进:  2 字符 字距调整小四 紧缩量  0.2 磅 + 首行缩进:  2 字符 Char"/>
    <w:basedOn w:val="32"/>
    <w:link w:val="54"/>
    <w:qFormat/>
    <w:uiPriority w:val="0"/>
    <w:rPr>
      <w:rFonts w:ascii="宋体" w:hAnsi="宋体" w:eastAsia="宋体" w:cs="宋体"/>
      <w:kern w:val="24"/>
      <w:sz w:val="24"/>
      <w:szCs w:val="24"/>
    </w:rPr>
  </w:style>
  <w:style w:type="paragraph" w:customStyle="1" w:styleId="54">
    <w:name w:val="样式 样式 正文@ + 首行缩进:  2 字符 字距调整小四 紧缩量  0.2 磅 + 首行缩进:  2 字符"/>
    <w:basedOn w:val="1"/>
    <w:link w:val="53"/>
    <w:qFormat/>
    <w:uiPriority w:val="0"/>
    <w:pPr>
      <w:spacing w:line="360" w:lineRule="auto"/>
      <w:ind w:firstLine="480" w:firstLineChars="200"/>
    </w:pPr>
    <w:rPr>
      <w:rFonts w:ascii="宋体" w:hAnsi="宋体" w:eastAsia="宋体" w:cs="宋体"/>
      <w:kern w:val="24"/>
      <w:sz w:val="24"/>
      <w:szCs w:val="24"/>
    </w:rPr>
  </w:style>
  <w:style w:type="character" w:customStyle="1" w:styleId="55">
    <w:name w:val="d1"/>
    <w:basedOn w:val="32"/>
    <w:qFormat/>
    <w:uiPriority w:val="0"/>
    <w:rPr>
      <w:rFonts w:hint="default" w:ascii="ˎ̥" w:hAnsi="ˎ̥"/>
      <w:color w:val="5C5C5C"/>
      <w:sz w:val="23"/>
      <w:szCs w:val="23"/>
      <w:u w:val="none"/>
    </w:rPr>
  </w:style>
  <w:style w:type="character" w:customStyle="1" w:styleId="56">
    <w:name w:val="正文2 Char Char"/>
    <w:basedOn w:val="32"/>
    <w:link w:val="57"/>
    <w:qFormat/>
    <w:uiPriority w:val="0"/>
    <w:rPr>
      <w:spacing w:val="18"/>
      <w:sz w:val="32"/>
    </w:rPr>
  </w:style>
  <w:style w:type="paragraph" w:customStyle="1" w:styleId="57">
    <w:name w:val="正文2"/>
    <w:link w:val="56"/>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8">
    <w:name w:val="表头 Char"/>
    <w:basedOn w:val="32"/>
    <w:link w:val="59"/>
    <w:qFormat/>
    <w:uiPriority w:val="0"/>
    <w:rPr>
      <w:rFonts w:ascii="黑体" w:eastAsia="黑体"/>
      <w:sz w:val="24"/>
    </w:rPr>
  </w:style>
  <w:style w:type="paragraph" w:customStyle="1" w:styleId="59">
    <w:name w:val="表头"/>
    <w:basedOn w:val="1"/>
    <w:link w:val="58"/>
    <w:qFormat/>
    <w:uiPriority w:val="0"/>
    <w:pPr>
      <w:spacing w:line="360" w:lineRule="auto"/>
      <w:jc w:val="center"/>
    </w:pPr>
    <w:rPr>
      <w:rFonts w:ascii="黑体" w:eastAsia="黑体"/>
      <w:sz w:val="24"/>
    </w:rPr>
  </w:style>
  <w:style w:type="character" w:customStyle="1" w:styleId="60">
    <w:name w:val="样式 表图头@ + 段前: 0.5 行 Char"/>
    <w:basedOn w:val="32"/>
    <w:link w:val="61"/>
    <w:qFormat/>
    <w:uiPriority w:val="0"/>
    <w:rPr>
      <w:rFonts w:ascii="宋体" w:hAnsi="宋体" w:eastAsia="宋体" w:cs="宋体"/>
    </w:rPr>
  </w:style>
  <w:style w:type="paragraph" w:customStyle="1" w:styleId="61">
    <w:name w:val="样式 表图头@ + 段前: 0.5 行"/>
    <w:basedOn w:val="1"/>
    <w:link w:val="60"/>
    <w:qFormat/>
    <w:uiPriority w:val="0"/>
    <w:pPr>
      <w:adjustRightInd w:val="0"/>
      <w:jc w:val="center"/>
    </w:pPr>
    <w:rPr>
      <w:rFonts w:ascii="宋体" w:hAnsi="宋体" w:eastAsia="宋体" w:cs="宋体"/>
    </w:rPr>
  </w:style>
  <w:style w:type="character" w:customStyle="1" w:styleId="62">
    <w:name w:val="style5"/>
    <w:basedOn w:val="32"/>
    <w:qFormat/>
    <w:uiPriority w:val="0"/>
  </w:style>
  <w:style w:type="character" w:customStyle="1" w:styleId="63">
    <w:name w:val="正文1 Char"/>
    <w:basedOn w:val="32"/>
    <w:link w:val="64"/>
    <w:qFormat/>
    <w:uiPriority w:val="0"/>
    <w:rPr>
      <w:rFonts w:eastAsia="宋体"/>
    </w:rPr>
  </w:style>
  <w:style w:type="paragraph" w:customStyle="1" w:styleId="64">
    <w:name w:val="正文1"/>
    <w:basedOn w:val="1"/>
    <w:link w:val="63"/>
    <w:qFormat/>
    <w:uiPriority w:val="0"/>
    <w:pPr>
      <w:adjustRightInd w:val="0"/>
      <w:snapToGrid w:val="0"/>
      <w:spacing w:line="500" w:lineRule="atLeast"/>
      <w:ind w:firstLine="567"/>
    </w:pPr>
    <w:rPr>
      <w:rFonts w:eastAsia="宋体"/>
    </w:rPr>
  </w:style>
  <w:style w:type="character" w:customStyle="1" w:styleId="65">
    <w:name w:val="样式2 Char Char"/>
    <w:basedOn w:val="32"/>
    <w:link w:val="66"/>
    <w:qFormat/>
    <w:uiPriority w:val="0"/>
    <w:rPr>
      <w:rFonts w:ascii="黑体" w:hAnsi="宋体" w:eastAsia="黑体"/>
      <w:bCs/>
      <w:sz w:val="24"/>
      <w:szCs w:val="24"/>
    </w:rPr>
  </w:style>
  <w:style w:type="paragraph" w:customStyle="1" w:styleId="66">
    <w:name w:val="样式2"/>
    <w:basedOn w:val="1"/>
    <w:link w:val="65"/>
    <w:qFormat/>
    <w:uiPriority w:val="0"/>
    <w:pPr>
      <w:spacing w:line="360" w:lineRule="auto"/>
      <w:ind w:firstLine="840" w:firstLineChars="350"/>
    </w:pPr>
    <w:rPr>
      <w:rFonts w:ascii="黑体" w:hAnsi="宋体" w:eastAsia="黑体"/>
      <w:bCs/>
      <w:sz w:val="24"/>
      <w:szCs w:val="24"/>
    </w:rPr>
  </w:style>
  <w:style w:type="character" w:customStyle="1" w:styleId="67">
    <w:name w:val="正文缩进 Char"/>
    <w:basedOn w:val="32"/>
    <w:link w:val="6"/>
    <w:qFormat/>
    <w:uiPriority w:val="0"/>
    <w:rPr>
      <w:rFonts w:eastAsia="宋体"/>
      <w:szCs w:val="24"/>
    </w:rPr>
  </w:style>
  <w:style w:type="character" w:customStyle="1" w:styleId="68">
    <w:name w:val="题注 Char"/>
    <w:basedOn w:val="32"/>
    <w:link w:val="8"/>
    <w:qFormat/>
    <w:uiPriority w:val="0"/>
    <w:rPr>
      <w:rFonts w:ascii="宋体" w:hAnsi="Arial" w:eastAsia="宋体" w:cs="Arial"/>
    </w:rPr>
  </w:style>
  <w:style w:type="character" w:customStyle="1" w:styleId="69">
    <w:name w:val="纯文本 Char"/>
    <w:qFormat/>
    <w:uiPriority w:val="0"/>
    <w:rPr>
      <w:rFonts w:ascii="宋体" w:hAnsi="Courier New" w:eastAsia="宋体"/>
      <w:kern w:val="2"/>
      <w:sz w:val="21"/>
      <w:lang w:val="en-US" w:eastAsia="zh-CN" w:bidi="ar-SA"/>
    </w:rPr>
  </w:style>
  <w:style w:type="character" w:customStyle="1" w:styleId="70">
    <w:name w:val="纯文本 Char1"/>
    <w:link w:val="16"/>
    <w:qFormat/>
    <w:uiPriority w:val="0"/>
    <w:rPr>
      <w:rFonts w:ascii="宋体" w:hAnsi="Courier New" w:eastAsia="宋体"/>
    </w:rPr>
  </w:style>
  <w:style w:type="character" w:customStyle="1" w:styleId="71">
    <w:name w:val="批注主题 Char"/>
    <w:basedOn w:val="50"/>
    <w:link w:val="29"/>
    <w:qFormat/>
    <w:uiPriority w:val="0"/>
    <w:rPr>
      <w:b/>
      <w:bCs/>
      <w:szCs w:val="24"/>
    </w:rPr>
  </w:style>
  <w:style w:type="character" w:customStyle="1" w:styleId="72">
    <w:name w:val="正文文本 3 Char"/>
    <w:basedOn w:val="32"/>
    <w:link w:val="11"/>
    <w:qFormat/>
    <w:uiPriority w:val="0"/>
    <w:rPr>
      <w:rFonts w:ascii="Times New Roman" w:hAnsi="Times New Roman" w:eastAsia="宋体" w:cs="Times New Roman"/>
      <w:sz w:val="16"/>
      <w:szCs w:val="16"/>
    </w:rPr>
  </w:style>
  <w:style w:type="character" w:customStyle="1" w:styleId="73">
    <w:name w:val="文档结构图 Char"/>
    <w:basedOn w:val="32"/>
    <w:link w:val="9"/>
    <w:semiHidden/>
    <w:qFormat/>
    <w:uiPriority w:val="0"/>
    <w:rPr>
      <w:rFonts w:ascii="Times New Roman" w:hAnsi="Times New Roman" w:eastAsia="宋体" w:cs="Times New Roman"/>
      <w:szCs w:val="24"/>
      <w:shd w:val="clear" w:color="auto" w:fill="000080"/>
    </w:rPr>
  </w:style>
  <w:style w:type="character" w:customStyle="1" w:styleId="74">
    <w:name w:val="批注文字 字符1"/>
    <w:basedOn w:val="32"/>
    <w:semiHidden/>
    <w:qFormat/>
    <w:uiPriority w:val="99"/>
  </w:style>
  <w:style w:type="character" w:customStyle="1" w:styleId="75">
    <w:name w:val="批注主题 字符1"/>
    <w:basedOn w:val="74"/>
    <w:semiHidden/>
    <w:qFormat/>
    <w:uiPriority w:val="99"/>
    <w:rPr>
      <w:b/>
      <w:bCs/>
    </w:rPr>
  </w:style>
  <w:style w:type="character" w:customStyle="1" w:styleId="76">
    <w:name w:val="正文文本 Char"/>
    <w:basedOn w:val="32"/>
    <w:link w:val="12"/>
    <w:qFormat/>
    <w:uiPriority w:val="0"/>
    <w:rPr>
      <w:rFonts w:ascii="Times New Roman" w:hAnsi="Times New Roman" w:eastAsia="宋体" w:cs="Times New Roman"/>
      <w:sz w:val="32"/>
      <w:szCs w:val="20"/>
    </w:rPr>
  </w:style>
  <w:style w:type="character" w:customStyle="1" w:styleId="77">
    <w:name w:val="正文文本缩进 Char"/>
    <w:basedOn w:val="32"/>
    <w:link w:val="13"/>
    <w:qFormat/>
    <w:uiPriority w:val="0"/>
    <w:rPr>
      <w:rFonts w:ascii="宋体" w:hAnsi="Times New Roman" w:eastAsia="宋体" w:cs="Times New Roman"/>
      <w:sz w:val="24"/>
      <w:szCs w:val="24"/>
    </w:rPr>
  </w:style>
  <w:style w:type="character" w:customStyle="1" w:styleId="78">
    <w:name w:val="纯文本 字符1"/>
    <w:basedOn w:val="32"/>
    <w:semiHidden/>
    <w:qFormat/>
    <w:uiPriority w:val="99"/>
    <w:rPr>
      <w:rFonts w:hAnsi="Courier New" w:cs="Courier New" w:asciiTheme="minorEastAsia"/>
    </w:rPr>
  </w:style>
  <w:style w:type="character" w:customStyle="1" w:styleId="79">
    <w:name w:val="正文文本缩进 3 Char"/>
    <w:basedOn w:val="32"/>
    <w:link w:val="24"/>
    <w:qFormat/>
    <w:uiPriority w:val="0"/>
    <w:rPr>
      <w:rFonts w:ascii="宋体" w:hAnsi="Times New Roman" w:eastAsia="宋体" w:cs="Times New Roman"/>
      <w:sz w:val="28"/>
      <w:szCs w:val="20"/>
    </w:rPr>
  </w:style>
  <w:style w:type="character" w:customStyle="1" w:styleId="80">
    <w:name w:val="正文文本缩进 2 Char"/>
    <w:basedOn w:val="32"/>
    <w:link w:val="18"/>
    <w:qFormat/>
    <w:uiPriority w:val="0"/>
    <w:rPr>
      <w:rFonts w:ascii="Times New Roman" w:hAnsi="Times New Roman" w:eastAsia="宋体" w:cs="Times New Roman"/>
      <w:sz w:val="28"/>
      <w:szCs w:val="20"/>
    </w:rPr>
  </w:style>
  <w:style w:type="character" w:customStyle="1" w:styleId="81">
    <w:name w:val="正文文本 2 Char"/>
    <w:basedOn w:val="32"/>
    <w:link w:val="26"/>
    <w:qFormat/>
    <w:uiPriority w:val="0"/>
    <w:rPr>
      <w:rFonts w:ascii="Times New Roman" w:hAnsi="Times New Roman" w:eastAsia="宋体" w:cs="Times New Roman"/>
      <w:szCs w:val="20"/>
    </w:rPr>
  </w:style>
  <w:style w:type="paragraph" w:customStyle="1" w:styleId="82">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3">
    <w:name w:val="CM6"/>
    <w:basedOn w:val="84"/>
    <w:next w:val="84"/>
    <w:qFormat/>
    <w:uiPriority w:val="0"/>
    <w:pPr>
      <w:spacing w:line="626" w:lineRule="atLeast"/>
    </w:pPr>
    <w:rPr>
      <w:rFonts w:hAnsi="Times New Roman" w:cs="Times New Roman"/>
      <w:color w:val="auto"/>
    </w:rPr>
  </w:style>
  <w:style w:type="paragraph" w:customStyle="1" w:styleId="84">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84"/>
    <w:next w:val="84"/>
    <w:qFormat/>
    <w:uiPriority w:val="0"/>
    <w:pPr>
      <w:spacing w:line="468" w:lineRule="atLeast"/>
    </w:pPr>
    <w:rPr>
      <w:rFonts w:hAnsi="Times New Roman" w:cs="Times New Roman"/>
      <w:color w:val="auto"/>
    </w:rPr>
  </w:style>
  <w:style w:type="paragraph" w:customStyle="1" w:styleId="90">
    <w:name w:val="CM7"/>
    <w:basedOn w:val="84"/>
    <w:next w:val="84"/>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84"/>
    <w:next w:val="84"/>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2"/>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84"/>
    <w:next w:val="84"/>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3"/>
    <w:qFormat/>
    <w:uiPriority w:val="0"/>
    <w:pPr>
      <w:spacing w:line="500" w:lineRule="exact"/>
      <w:ind w:firstLine="567"/>
    </w:pPr>
    <w:rPr>
      <w:sz w:val="28"/>
      <w:szCs w:val="20"/>
    </w:rPr>
  </w:style>
  <w:style w:type="paragraph" w:customStyle="1" w:styleId="102">
    <w:name w:val="CM51"/>
    <w:basedOn w:val="84"/>
    <w:next w:val="84"/>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6"/>
    <w:qFormat/>
    <w:uiPriority w:val="0"/>
    <w:rPr>
      <w:rFonts w:ascii="宋体" w:hAnsi="Courier New" w:eastAsia="宋体" w:cs="Courier New"/>
      <w:szCs w:val="21"/>
    </w:rPr>
  </w:style>
  <w:style w:type="paragraph" w:customStyle="1" w:styleId="106">
    <w:name w:val="CM5"/>
    <w:basedOn w:val="84"/>
    <w:next w:val="84"/>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84"/>
    <w:next w:val="84"/>
    <w:qFormat/>
    <w:uiPriority w:val="0"/>
    <w:rPr>
      <w:rFonts w:hAnsi="Times New Roman" w:cs="Times New Roman"/>
      <w:color w:val="auto"/>
    </w:rPr>
  </w:style>
  <w:style w:type="paragraph" w:customStyle="1" w:styleId="113">
    <w:name w:val="CM109"/>
    <w:basedOn w:val="84"/>
    <w:next w:val="84"/>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Heading"/>
    <w:basedOn w:val="2"/>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简单回函地址"/>
    <w:basedOn w:val="1"/>
    <w:qFormat/>
    <w:uiPriority w:val="0"/>
    <w:rPr>
      <w:sz w:val="24"/>
    </w:rPr>
  </w:style>
  <w:style w:type="paragraph" w:customStyle="1" w:styleId="121">
    <w:name w:val="Normal Indent"/>
    <w:basedOn w:val="1"/>
    <w:qFormat/>
    <w:uiPriority w:val="0"/>
    <w:rPr>
      <w:sz w:val="28"/>
      <w:szCs w:val="20"/>
    </w:rPr>
  </w:style>
  <w:style w:type="paragraph" w:customStyle="1" w:styleId="122">
    <w:name w:val="_Style 1"/>
    <w:basedOn w:val="1"/>
    <w:qFormat/>
    <w:uiPriority w:val="34"/>
    <w:pPr>
      <w:ind w:firstLine="420" w:firstLineChars="200"/>
    </w:pPr>
  </w:style>
  <w:style w:type="paragraph" w:customStyle="1" w:styleId="12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24">
    <w:name w:val="1.表头格式"/>
    <w:basedOn w:val="1"/>
    <w:next w:val="125"/>
    <w:qFormat/>
    <w:uiPriority w:val="0"/>
    <w:pPr>
      <w:ind w:firstLine="0" w:firstLineChars="0"/>
      <w:jc w:val="center"/>
    </w:pPr>
    <w:rPr>
      <w:rFonts w:eastAsia="黑体"/>
      <w:szCs w:val="24"/>
    </w:rPr>
  </w:style>
  <w:style w:type="paragraph" w:customStyle="1" w:styleId="125">
    <w:name w:val="1    正文"/>
    <w:basedOn w:val="1"/>
    <w:qFormat/>
    <w:uiPriority w:val="0"/>
  </w:style>
  <w:style w:type="paragraph" w:customStyle="1" w:styleId="12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127">
    <w:name w:val="表内容"/>
    <w:basedOn w:val="1"/>
    <w:next w:val="1"/>
    <w:qFormat/>
    <w:uiPriority w:val="0"/>
    <w:pPr>
      <w:spacing w:line="320" w:lineRule="exact"/>
      <w:jc w:val="center"/>
    </w:pPr>
    <w:rPr>
      <w:szCs w:val="20"/>
    </w:rPr>
  </w:style>
  <w:style w:type="character" w:customStyle="1" w:styleId="128">
    <w:name w:val="font31"/>
    <w:basedOn w:val="32"/>
    <w:qFormat/>
    <w:uiPriority w:val="0"/>
    <w:rPr>
      <w:rFonts w:hint="eastAsia" w:ascii="宋体" w:hAnsi="宋体" w:eastAsia="宋体" w:cs="宋体"/>
      <w:color w:val="000000"/>
      <w:sz w:val="22"/>
      <w:szCs w:val="22"/>
      <w:u w:val="none"/>
    </w:rPr>
  </w:style>
  <w:style w:type="paragraph" w:customStyle="1" w:styleId="129">
    <w:name w:val="表格"/>
    <w:basedOn w:val="1"/>
    <w:qFormat/>
    <w:uiPriority w:val="0"/>
    <w:pPr>
      <w:keepNext/>
      <w:widowControl w:val="0"/>
      <w:spacing w:line="312" w:lineRule="atLeast"/>
      <w:jc w:val="center"/>
    </w:pPr>
    <w:rPr>
      <w:sz w:val="21"/>
    </w:rPr>
  </w:style>
  <w:style w:type="character" w:customStyle="1" w:styleId="130">
    <w:name w:val="font91"/>
    <w:basedOn w:val="32"/>
    <w:qFormat/>
    <w:uiPriority w:val="0"/>
    <w:rPr>
      <w:rFonts w:hint="default" w:ascii="Times New Roman" w:hAnsi="Times New Roman" w:cs="Times New Roman"/>
      <w:color w:val="000000"/>
      <w:sz w:val="22"/>
      <w:szCs w:val="22"/>
      <w:u w:val="none"/>
    </w:rPr>
  </w:style>
  <w:style w:type="paragraph" w:customStyle="1" w:styleId="131">
    <w:name w:val="正文缩进1"/>
    <w:basedOn w:val="1"/>
    <w:qFormat/>
    <w:uiPriority w:val="0"/>
    <w:rPr>
      <w:sz w:val="28"/>
    </w:rPr>
  </w:style>
  <w:style w:type="paragraph" w:customStyle="1" w:styleId="132">
    <w:name w:val="表格正文"/>
    <w:basedOn w:val="1"/>
    <w:qFormat/>
    <w:uiPriority w:val="0"/>
    <w:pPr>
      <w:spacing w:line="400" w:lineRule="exact"/>
      <w:jc w:val="center"/>
    </w:pPr>
    <w:rPr>
      <w:sz w:val="24"/>
      <w:szCs w:val="21"/>
    </w:rPr>
  </w:style>
  <w:style w:type="paragraph" w:customStyle="1" w:styleId="133">
    <w:name w:val="报告表表格"/>
    <w:basedOn w:val="1"/>
    <w:qFormat/>
    <w:uiPriority w:val="0"/>
    <w:pPr>
      <w:spacing w:line="360" w:lineRule="exact"/>
      <w:jc w:val="center"/>
    </w:pPr>
    <w:rPr>
      <w:rFonts w:ascii="Arial" w:hAnsi="Arial"/>
      <w:szCs w:val="21"/>
    </w:rPr>
  </w:style>
  <w:style w:type="paragraph" w:customStyle="1" w:styleId="134">
    <w:name w:val="Table Paragraph"/>
    <w:basedOn w:val="1"/>
    <w:qFormat/>
    <w:uiPriority w:val="0"/>
    <w:pPr>
      <w:spacing w:before="100" w:beforeAutospacing="1"/>
      <w:jc w:val="left"/>
    </w:pPr>
    <w:rPr>
      <w:rFonts w:ascii="Calibri" w:hAnsi="Calibri" w:eastAsia="宋体" w:cs="Times New Roman"/>
      <w:kern w:val="0"/>
      <w:sz w:val="22"/>
    </w:rPr>
  </w:style>
  <w:style w:type="character" w:customStyle="1" w:styleId="135">
    <w:name w:val="font51"/>
    <w:basedOn w:val="32"/>
    <w:qFormat/>
    <w:uiPriority w:val="0"/>
    <w:rPr>
      <w:rFonts w:hint="default" w:ascii="Times New Roman" w:hAnsi="Times New Roman" w:cs="Times New Roman"/>
      <w:color w:val="000000"/>
      <w:sz w:val="22"/>
      <w:szCs w:val="22"/>
      <w:u w:val="none"/>
      <w:vertAlign w:val="superscript"/>
    </w:rPr>
  </w:style>
  <w:style w:type="character" w:customStyle="1" w:styleId="136">
    <w:name w:val="font01"/>
    <w:basedOn w:val="32"/>
    <w:qFormat/>
    <w:uiPriority w:val="0"/>
    <w:rPr>
      <w:rFonts w:hint="default" w:ascii="Times New Roman" w:hAnsi="Times New Roman" w:cs="Times New Roman"/>
      <w:color w:val="000000"/>
      <w:sz w:val="24"/>
      <w:szCs w:val="24"/>
      <w:u w:val="none"/>
    </w:rPr>
  </w:style>
  <w:style w:type="character" w:customStyle="1" w:styleId="137">
    <w:name w:val="font21"/>
    <w:basedOn w:val="32"/>
    <w:qFormat/>
    <w:uiPriority w:val="0"/>
    <w:rPr>
      <w:rFonts w:hint="default" w:ascii="Times New Roman" w:hAnsi="Times New Roman" w:cs="Times New Roman"/>
      <w:color w:val="000000"/>
      <w:sz w:val="21"/>
      <w:szCs w:val="21"/>
      <w:u w:val="none"/>
    </w:rPr>
  </w:style>
  <w:style w:type="character" w:customStyle="1" w:styleId="138">
    <w:name w:val="font41"/>
    <w:qFormat/>
    <w:uiPriority w:val="0"/>
    <w:rPr>
      <w:rFonts w:hint="eastAsia" w:ascii="宋体" w:hAnsi="宋体" w:eastAsia="宋体" w:cs="宋体"/>
      <w:color w:val="000000"/>
      <w:sz w:val="21"/>
      <w:szCs w:val="21"/>
      <w:u w:val="none"/>
    </w:rPr>
  </w:style>
  <w:style w:type="paragraph" w:customStyle="1" w:styleId="139">
    <w:name w:val="表格内容"/>
    <w:basedOn w:val="1"/>
    <w:qFormat/>
    <w:uiPriority w:val="0"/>
    <w:pPr>
      <w:spacing w:line="240" w:lineRule="auto"/>
      <w:ind w:firstLine="0" w:firstLineChars="0"/>
      <w:jc w:val="center"/>
    </w:pPr>
    <w:rPr>
      <w:rFonts w:hint="eastAsia" w:ascii="Times New Roman" w:hAnsi="Times New Roman"/>
      <w:color w:val="000000"/>
      <w:kern w:val="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headEnd type="none"/>
          <a:tailEnd type="triangle"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33</Pages>
  <Words>15608</Words>
  <Characters>19187</Characters>
  <Lines>252</Lines>
  <Paragraphs>71</Paragraphs>
  <TotalTime>0</TotalTime>
  <ScaleCrop>false</ScaleCrop>
  <LinksUpToDate>false</LinksUpToDate>
  <CharactersWithSpaces>19675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赵凤新</cp:lastModifiedBy>
  <cp:lastPrinted>2020-11-11T05:32:48Z</cp:lastPrinted>
  <dcterms:modified xsi:type="dcterms:W3CDTF">2020-11-11T05:33:12Z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