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bCs/>
          <w:sz w:val="32"/>
          <w:szCs w:val="32"/>
          <w:lang w:eastAsia="zh-CN"/>
        </w:rPr>
      </w:pPr>
      <w:r>
        <w:rPr>
          <w:rFonts w:hint="eastAsia" w:ascii="宋体" w:hAnsi="宋体" w:eastAsia="宋体"/>
          <w:b/>
          <w:bCs/>
          <w:sz w:val="32"/>
          <w:szCs w:val="32"/>
          <w:lang w:eastAsia="zh-CN"/>
        </w:rPr>
        <w:t>新乡市豆乐食品有限公司年产300吨豆制品制造项目</w:t>
      </w:r>
    </w:p>
    <w:p>
      <w:pPr>
        <w:spacing w:line="360" w:lineRule="auto"/>
        <w:jc w:val="center"/>
        <w:rPr>
          <w:rFonts w:ascii="宋体" w:hAnsi="宋体" w:eastAsia="宋体"/>
          <w:b/>
          <w:bCs/>
          <w:sz w:val="32"/>
          <w:szCs w:val="32"/>
        </w:rPr>
      </w:pPr>
      <w:r>
        <w:rPr>
          <w:rFonts w:ascii="宋体" w:hAnsi="宋体" w:eastAsia="宋体"/>
          <w:b/>
          <w:bCs/>
          <w:sz w:val="32"/>
          <w:szCs w:val="32"/>
        </w:rPr>
        <w:t>竣工环境保护验收</w:t>
      </w:r>
      <w:r>
        <w:rPr>
          <w:rFonts w:hint="eastAsia" w:ascii="宋体" w:hAnsi="宋体" w:eastAsia="宋体"/>
          <w:b/>
          <w:bCs/>
          <w:sz w:val="32"/>
          <w:szCs w:val="32"/>
        </w:rPr>
        <w:t>意见</w:t>
      </w:r>
    </w:p>
    <w:p>
      <w:pPr>
        <w:jc w:val="center"/>
        <w:rPr>
          <w:rFonts w:ascii="宋体" w:hAnsi="宋体" w:eastAsia="宋体"/>
          <w:sz w:val="24"/>
          <w:szCs w:val="24"/>
        </w:rPr>
      </w:pP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ascii="宋体" w:hAnsi="宋体" w:eastAsia="宋体"/>
          <w:sz w:val="24"/>
          <w:szCs w:val="24"/>
        </w:rPr>
      </w:pPr>
      <w:r>
        <w:rPr>
          <w:rFonts w:hint="eastAsia" w:ascii="宋体" w:hAnsi="宋体" w:eastAsia="宋体"/>
          <w:sz w:val="24"/>
          <w:szCs w:val="24"/>
          <w:lang w:val="en-US" w:eastAsia="zh-CN"/>
        </w:rPr>
        <w:t>新乡市豆乐食品有限公司</w:t>
      </w:r>
      <w:r>
        <w:rPr>
          <w:rFonts w:hint="eastAsia" w:ascii="宋体" w:hAnsi="宋体" w:eastAsia="宋体"/>
          <w:sz w:val="24"/>
          <w:szCs w:val="24"/>
        </w:rPr>
        <w:t>根据《建设项目环境保护管理条例》，并对照《建设项目竣工环境保护验收暂行办法》，</w:t>
      </w:r>
      <w:r>
        <w:rPr>
          <w:rFonts w:hint="eastAsia" w:ascii="宋体" w:hAnsi="宋体" w:eastAsia="宋体"/>
          <w:sz w:val="24"/>
          <w:szCs w:val="24"/>
          <w:lang w:eastAsia="zh-CN"/>
        </w:rPr>
        <w:t>严格按</w:t>
      </w:r>
      <w:r>
        <w:rPr>
          <w:rFonts w:hint="eastAsia" w:ascii="宋体" w:hAnsi="宋体" w:eastAsia="宋体"/>
          <w:sz w:val="24"/>
          <w:szCs w:val="24"/>
        </w:rPr>
        <w:t>照国家有关法律法规、建设项目竣工环境保护验收技术规范、项目环境影响报告和审批部门审批决定等要求组织本项目</w:t>
      </w:r>
      <w:r>
        <w:rPr>
          <w:rFonts w:hint="eastAsia" w:ascii="宋体" w:hAnsi="宋体" w:eastAsia="宋体"/>
          <w:sz w:val="24"/>
          <w:szCs w:val="24"/>
          <w:lang w:eastAsia="zh-CN"/>
        </w:rPr>
        <w:t>进行</w:t>
      </w:r>
      <w:r>
        <w:rPr>
          <w:rFonts w:hint="eastAsia" w:ascii="宋体" w:hAnsi="宋体" w:eastAsia="宋体"/>
          <w:sz w:val="24"/>
          <w:szCs w:val="24"/>
        </w:rPr>
        <w:t>竣工验收</w:t>
      </w:r>
      <w:r>
        <w:rPr>
          <w:rFonts w:hint="eastAsia" w:ascii="宋体" w:hAnsi="宋体" w:eastAsia="宋体"/>
          <w:sz w:val="24"/>
          <w:szCs w:val="24"/>
          <w:lang w:eastAsia="zh-CN"/>
        </w:rPr>
        <w:t>，</w:t>
      </w:r>
      <w:r>
        <w:rPr>
          <w:rFonts w:hint="eastAsia" w:ascii="宋体" w:hAnsi="宋体" w:eastAsia="宋体"/>
          <w:b w:val="0"/>
          <w:bCs w:val="0"/>
          <w:sz w:val="24"/>
          <w:szCs w:val="24"/>
          <w:highlight w:val="none"/>
          <w:u w:val="none"/>
          <w:lang w:eastAsia="zh-CN"/>
        </w:rPr>
        <w:t>成立验收组并实地</w:t>
      </w:r>
      <w:r>
        <w:rPr>
          <w:rFonts w:hint="eastAsia" w:ascii="宋体" w:hAnsi="宋体" w:eastAsia="宋体"/>
          <w:b w:val="0"/>
          <w:bCs w:val="0"/>
          <w:sz w:val="24"/>
          <w:szCs w:val="24"/>
          <w:highlight w:val="none"/>
          <w:u w:val="none"/>
        </w:rPr>
        <w:t>踏勘了现场</w:t>
      </w:r>
      <w:r>
        <w:rPr>
          <w:rFonts w:hint="eastAsia" w:ascii="宋体" w:hAnsi="宋体" w:eastAsia="宋体"/>
          <w:sz w:val="24"/>
          <w:szCs w:val="24"/>
        </w:rPr>
        <w:t>，听取了建设单位对项目进展情况、验收报告编制单位对验收报告和监测单位对监测报告的详细介绍，经认真讨论，提出验收意见如下：</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left="0" w:leftChars="0" w:right="0" w:rightChars="0" w:firstLine="562" w:firstLineChars="200"/>
        <w:textAlignment w:val="auto"/>
        <w:outlineLvl w:val="9"/>
        <w:rPr>
          <w:rFonts w:hint="eastAsia" w:ascii="宋体" w:hAnsi="宋体" w:eastAsia="宋体"/>
          <w:b/>
          <w:bCs/>
          <w:sz w:val="28"/>
          <w:szCs w:val="28"/>
        </w:rPr>
      </w:pPr>
      <w:r>
        <w:rPr>
          <w:rFonts w:hint="eastAsia" w:ascii="宋体" w:hAnsi="宋体" w:eastAsia="宋体"/>
          <w:b/>
          <w:bCs/>
          <w:sz w:val="28"/>
          <w:szCs w:val="28"/>
        </w:rPr>
        <w:t>工程建设基本情况</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sz w:val="24"/>
          <w:szCs w:val="24"/>
          <w:lang w:val="en-US" w:eastAsia="zh-CN"/>
        </w:rPr>
      </w:pPr>
      <w:r>
        <w:rPr>
          <w:rFonts w:hint="default" w:ascii="宋体" w:hAnsi="宋体" w:eastAsia="宋体"/>
          <w:sz w:val="24"/>
          <w:szCs w:val="24"/>
          <w:lang w:val="en-US" w:eastAsia="zh-CN"/>
        </w:rPr>
        <w:t>（一</w:t>
      </w:r>
      <w:r>
        <w:rPr>
          <w:rFonts w:hint="eastAsia" w:ascii="宋体" w:hAnsi="宋体" w:eastAsia="宋体"/>
          <w:sz w:val="24"/>
          <w:szCs w:val="24"/>
          <w:lang w:val="en-US" w:eastAsia="zh-CN"/>
        </w:rPr>
        <w:t>）建设地点、规模、主要建设内容</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sz w:val="24"/>
          <w:szCs w:val="24"/>
          <w:lang w:val="en-US" w:eastAsia="zh-CN"/>
        </w:rPr>
      </w:pPr>
      <w:r>
        <w:rPr>
          <w:rFonts w:hint="eastAsia" w:ascii="宋体" w:hAnsi="宋体" w:eastAsia="宋体"/>
          <w:sz w:val="24"/>
          <w:szCs w:val="24"/>
          <w:lang w:val="en-US" w:eastAsia="zh-CN"/>
        </w:rPr>
        <w:t>本项目位于新乡市卫辉市唐庄镇工业路3号银鹭沙厂院内1号厂房，占地面积3500m2，</w:t>
      </w:r>
      <w:r>
        <w:rPr>
          <w:rFonts w:hint="default" w:ascii="宋体" w:hAnsi="宋体" w:eastAsia="宋体"/>
          <w:sz w:val="24"/>
          <w:szCs w:val="24"/>
          <w:lang w:val="en-US" w:eastAsia="zh-CN"/>
        </w:rPr>
        <w:t>主要构筑物为</w:t>
      </w:r>
      <w:r>
        <w:rPr>
          <w:rFonts w:hint="eastAsia" w:ascii="宋体" w:hAnsi="宋体" w:eastAsia="宋体"/>
          <w:sz w:val="24"/>
          <w:szCs w:val="24"/>
          <w:lang w:val="en-US" w:eastAsia="zh-CN"/>
        </w:rPr>
        <w:t>生产</w:t>
      </w:r>
      <w:r>
        <w:rPr>
          <w:rFonts w:hint="default" w:ascii="宋体" w:hAnsi="宋体" w:eastAsia="宋体"/>
          <w:sz w:val="24"/>
          <w:szCs w:val="24"/>
          <w:lang w:val="en-US" w:eastAsia="zh-CN"/>
        </w:rPr>
        <w:t>车间和</w:t>
      </w:r>
      <w:r>
        <w:rPr>
          <w:rFonts w:hint="eastAsia" w:ascii="宋体" w:hAnsi="宋体" w:eastAsia="宋体"/>
          <w:sz w:val="24"/>
          <w:szCs w:val="24"/>
          <w:lang w:val="en-US" w:eastAsia="zh-CN"/>
        </w:rPr>
        <w:t>办公室</w:t>
      </w:r>
      <w:r>
        <w:rPr>
          <w:rFonts w:hint="default" w:ascii="宋体" w:hAnsi="宋体" w:eastAsia="宋体"/>
          <w:sz w:val="24"/>
          <w:szCs w:val="24"/>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default" w:ascii="宋体" w:hAnsi="宋体" w:eastAsia="宋体"/>
          <w:sz w:val="24"/>
          <w:szCs w:val="24"/>
          <w:lang w:val="en-US" w:eastAsia="zh-CN"/>
        </w:rPr>
      </w:pPr>
      <w:r>
        <w:rPr>
          <w:rFonts w:hint="default" w:ascii="宋体" w:hAnsi="宋体" w:eastAsia="宋体"/>
          <w:sz w:val="24"/>
          <w:szCs w:val="24"/>
          <w:lang w:val="en-US" w:eastAsia="zh-CN"/>
        </w:rPr>
        <w:t>（二）建设过程及环保审批情况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新乡市豆乐食品有限公司</w:t>
      </w:r>
      <w:r>
        <w:rPr>
          <w:rFonts w:hint="default" w:ascii="Times New Roman" w:hAnsi="Times New Roman" w:eastAsia="宋体" w:cs="Times New Roman"/>
          <w:color w:val="auto"/>
          <w:sz w:val="24"/>
          <w:szCs w:val="24"/>
          <w:highlight w:val="none"/>
          <w:lang w:val="en-US" w:eastAsia="zh-CN"/>
        </w:rPr>
        <w:t>投资</w:t>
      </w:r>
      <w:r>
        <w:rPr>
          <w:rFonts w:hint="eastAsia" w:ascii="Times New Roman" w:hAnsi="Times New Roman" w:eastAsia="宋体" w:cs="Times New Roman"/>
          <w:color w:val="auto"/>
          <w:sz w:val="24"/>
          <w:szCs w:val="24"/>
          <w:highlight w:val="none"/>
          <w:lang w:val="en-US" w:eastAsia="zh-CN"/>
        </w:rPr>
        <w:t>50</w:t>
      </w:r>
      <w:r>
        <w:rPr>
          <w:rFonts w:hint="default" w:ascii="Times New Roman" w:hAnsi="Times New Roman" w:eastAsia="宋体" w:cs="Times New Roman"/>
          <w:color w:val="auto"/>
          <w:sz w:val="24"/>
          <w:szCs w:val="24"/>
          <w:highlight w:val="none"/>
          <w:lang w:val="en-US" w:eastAsia="zh-CN"/>
        </w:rPr>
        <w:t>万元</w:t>
      </w:r>
      <w:r>
        <w:rPr>
          <w:rFonts w:hint="eastAsia" w:ascii="Times New Roman" w:hAnsi="Times New Roman" w:eastAsia="宋体" w:cs="Times New Roman"/>
          <w:color w:val="auto"/>
          <w:sz w:val="24"/>
          <w:szCs w:val="24"/>
          <w:highlight w:val="none"/>
          <w:lang w:val="en-US" w:eastAsia="zh-CN"/>
        </w:rPr>
        <w:t>在新乡市卫辉市唐庄镇工业路3号银鹭沙厂院内1号厂房</w:t>
      </w:r>
      <w:r>
        <w:rPr>
          <w:rFonts w:hint="default" w:ascii="Times New Roman" w:hAnsi="Times New Roman" w:eastAsia="宋体" w:cs="Times New Roman"/>
          <w:color w:val="auto"/>
          <w:sz w:val="24"/>
          <w:szCs w:val="24"/>
          <w:highlight w:val="none"/>
          <w:lang w:val="en-US" w:eastAsia="zh-CN"/>
        </w:rPr>
        <w:t>建设</w:t>
      </w:r>
      <w:r>
        <w:rPr>
          <w:rFonts w:hint="eastAsia" w:ascii="Times New Roman" w:hAnsi="Times New Roman" w:eastAsia="宋体" w:cs="Times New Roman"/>
          <w:color w:val="auto"/>
          <w:sz w:val="24"/>
          <w:szCs w:val="24"/>
          <w:highlight w:val="none"/>
          <w:lang w:val="en-US" w:eastAsia="zh-CN"/>
        </w:rPr>
        <w:t>年产300吨豆制品制造项目，</w:t>
      </w:r>
      <w:bookmarkStart w:id="0" w:name="_Hlk496987392"/>
      <w:r>
        <w:rPr>
          <w:rFonts w:hint="eastAsia" w:ascii="Times New Roman" w:hAnsi="Times New Roman" w:eastAsia="宋体" w:cs="Times New Roman"/>
          <w:color w:val="auto"/>
          <w:sz w:val="24"/>
          <w:szCs w:val="24"/>
          <w:highlight w:val="none"/>
          <w:lang w:val="en-US" w:eastAsia="zh-CN"/>
        </w:rPr>
        <w:t>于</w:t>
      </w:r>
      <w:r>
        <w:rPr>
          <w:rFonts w:hint="default" w:ascii="Times New Roman" w:hAnsi="Times New Roman" w:eastAsia="宋体" w:cs="Times New Roman"/>
          <w:color w:val="auto"/>
          <w:sz w:val="24"/>
          <w:szCs w:val="24"/>
          <w:highlight w:val="none"/>
          <w:lang w:val="en-US" w:eastAsia="zh-CN"/>
        </w:rPr>
        <w:t>20</w:t>
      </w:r>
      <w:r>
        <w:rPr>
          <w:rFonts w:hint="eastAsia" w:ascii="Times New Roman" w:hAnsi="Times New Roman" w:eastAsia="宋体" w:cs="Times New Roman"/>
          <w:color w:val="auto"/>
          <w:sz w:val="24"/>
          <w:szCs w:val="24"/>
          <w:highlight w:val="none"/>
          <w:lang w:val="en-US" w:eastAsia="zh-CN"/>
        </w:rPr>
        <w:t>22</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lang w:val="en-US" w:eastAsia="zh-CN"/>
        </w:rPr>
        <w:t>月委托</w:t>
      </w:r>
      <w:r>
        <w:rPr>
          <w:rFonts w:hint="eastAsia" w:ascii="Times New Roman" w:hAnsi="Times New Roman" w:eastAsia="宋体" w:cs="Times New Roman"/>
          <w:color w:val="auto"/>
          <w:sz w:val="24"/>
          <w:szCs w:val="24"/>
          <w:highlight w:val="none"/>
          <w:lang w:val="en-US" w:eastAsia="zh-CN"/>
        </w:rPr>
        <w:t>河南环科环保技术有限公司</w:t>
      </w:r>
      <w:r>
        <w:rPr>
          <w:rFonts w:hint="default" w:ascii="Times New Roman" w:hAnsi="Times New Roman" w:eastAsia="宋体" w:cs="Times New Roman"/>
          <w:color w:val="auto"/>
          <w:sz w:val="24"/>
          <w:szCs w:val="24"/>
          <w:highlight w:val="none"/>
          <w:lang w:val="en-US" w:eastAsia="zh-CN"/>
        </w:rPr>
        <w:t>编制《</w:t>
      </w:r>
      <w:r>
        <w:rPr>
          <w:rFonts w:hint="eastAsia" w:ascii="Times New Roman" w:hAnsi="Times New Roman" w:eastAsia="宋体" w:cs="Times New Roman"/>
          <w:color w:val="auto"/>
          <w:sz w:val="24"/>
          <w:szCs w:val="24"/>
          <w:highlight w:val="none"/>
          <w:lang w:val="en-US" w:eastAsia="zh-CN"/>
        </w:rPr>
        <w:t>新乡市豆乐食品有限公司年产300吨豆制品制造项目</w:t>
      </w:r>
      <w:r>
        <w:rPr>
          <w:rFonts w:hint="default" w:ascii="Times New Roman" w:hAnsi="Times New Roman" w:eastAsia="宋体" w:cs="Times New Roman"/>
          <w:color w:val="auto"/>
          <w:sz w:val="24"/>
          <w:szCs w:val="24"/>
          <w:highlight w:val="none"/>
          <w:lang w:val="en-US" w:eastAsia="zh-CN"/>
        </w:rPr>
        <w:t>环境影响报告表》，该项目环评报告于20</w:t>
      </w:r>
      <w:r>
        <w:rPr>
          <w:rFonts w:hint="eastAsia" w:ascii="Times New Roman" w:hAnsi="Times New Roman" w:eastAsia="宋体" w:cs="Times New Roman"/>
          <w:color w:val="auto"/>
          <w:sz w:val="24"/>
          <w:szCs w:val="24"/>
          <w:highlight w:val="none"/>
          <w:lang w:val="en-US" w:eastAsia="zh-CN"/>
        </w:rPr>
        <w:t>22</w:t>
      </w:r>
      <w:r>
        <w:rPr>
          <w:rFonts w:hint="default" w:ascii="Times New Roman" w:hAnsi="Times New Roman" w:eastAsia="宋体" w:cs="Times New Roman"/>
          <w:color w:val="auto"/>
          <w:sz w:val="24"/>
          <w:szCs w:val="24"/>
          <w:highlight w:val="none"/>
          <w:lang w:val="en-US" w:eastAsia="zh-CN"/>
        </w:rPr>
        <w:t>年</w:t>
      </w:r>
      <w:r>
        <w:rPr>
          <w:rFonts w:hint="eastAsia" w:ascii="Times New Roman" w:hAnsi="Times New Roman" w:eastAsia="宋体"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lang w:val="en-US" w:eastAsia="zh-CN"/>
        </w:rPr>
        <w:t>月</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日</w:t>
      </w:r>
      <w:bookmarkStart w:id="1" w:name="_Hlk496980272"/>
      <w:r>
        <w:rPr>
          <w:rFonts w:hint="default" w:ascii="Times New Roman" w:hAnsi="Times New Roman" w:eastAsia="宋体" w:cs="Times New Roman"/>
          <w:color w:val="auto"/>
          <w:sz w:val="24"/>
          <w:szCs w:val="24"/>
          <w:highlight w:val="none"/>
          <w:lang w:val="en-US" w:eastAsia="zh-CN"/>
        </w:rPr>
        <w:t>通过</w:t>
      </w:r>
      <w:r>
        <w:rPr>
          <w:rFonts w:hint="eastAsia" w:ascii="Times New Roman" w:hAnsi="Times New Roman" w:eastAsia="宋体" w:cs="Times New Roman"/>
          <w:color w:val="auto"/>
          <w:sz w:val="24"/>
          <w:szCs w:val="24"/>
          <w:highlight w:val="none"/>
          <w:lang w:val="en-US" w:eastAsia="zh-CN"/>
        </w:rPr>
        <w:t>卫辉市环境保护局</w:t>
      </w:r>
      <w:r>
        <w:rPr>
          <w:rFonts w:hint="default" w:ascii="Times New Roman" w:hAnsi="Times New Roman" w:eastAsia="宋体" w:cs="Times New Roman"/>
          <w:color w:val="auto"/>
          <w:sz w:val="24"/>
          <w:szCs w:val="24"/>
          <w:highlight w:val="none"/>
          <w:lang w:val="en-US" w:eastAsia="zh-CN"/>
        </w:rPr>
        <w:t>审批，审批文号为</w:t>
      </w:r>
      <w:r>
        <w:rPr>
          <w:rFonts w:hint="eastAsia" w:ascii="Times New Roman" w:hAnsi="Times New Roman" w:eastAsia="宋体" w:cs="Times New Roman"/>
          <w:color w:val="auto"/>
          <w:sz w:val="24"/>
          <w:szCs w:val="24"/>
          <w:highlight w:val="none"/>
          <w:lang w:val="en-US" w:eastAsia="zh-CN"/>
        </w:rPr>
        <w:t>卫环告表[2022]07号</w:t>
      </w:r>
      <w:r>
        <w:rPr>
          <w:rFonts w:hint="default" w:ascii="Times New Roman" w:hAnsi="Times New Roman" w:eastAsia="宋体" w:cs="Times New Roman"/>
          <w:color w:val="auto"/>
          <w:sz w:val="24"/>
          <w:szCs w:val="24"/>
          <w:highlight w:val="none"/>
          <w:lang w:val="en-US" w:eastAsia="zh-CN"/>
        </w:rPr>
        <w:t>。</w:t>
      </w:r>
      <w:bookmarkEnd w:id="0"/>
      <w:bookmarkEnd w:id="1"/>
      <w:r>
        <w:rPr>
          <w:rFonts w:hint="eastAsia" w:ascii="Times New Roman" w:hAnsi="Times New Roman" w:eastAsia="宋体" w:cs="Times New Roman"/>
          <w:color w:val="auto"/>
          <w:sz w:val="24"/>
          <w:szCs w:val="24"/>
          <w:highlight w:val="none"/>
          <w:lang w:val="en-US" w:eastAsia="zh-CN"/>
        </w:rPr>
        <w:t>并于2022年10月26日申领排污登记，登记编号为91410781MA9L73YX53001Y。</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根据《建设项目环境保护管理条例》和《建设项目竣工环境保护验收暂行办法》（国环规环评[2017]4号），新乡市豆乐食品有限公司对本项目组织实施验收。项目于2022年10月开工建设，2023年1月竣工，并于2023年2月开始设备调试。河南鑫成环境保护监测有限公司于2023年02月27日-02月28日对建设项目进行了竣工验收监测并出具监测报告。2023年2月新乡市豆乐食品有限公司为该项目编制竣工环境保护验收监测报告。在项目建设到调试过程中无环境投诉、违法或处罚记录等。</w:t>
      </w:r>
    </w:p>
    <w:p>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outlineLvl w:val="9"/>
        <w:rPr>
          <w:rFonts w:hint="eastAsia" w:ascii="宋体" w:hAnsi="宋体" w:eastAsia="宋体"/>
          <w:sz w:val="24"/>
          <w:szCs w:val="24"/>
          <w:lang w:val="en-US" w:eastAsia="zh-CN"/>
        </w:rPr>
      </w:pPr>
      <w:r>
        <w:rPr>
          <w:rFonts w:hint="eastAsia" w:ascii="宋体" w:hAnsi="宋体" w:eastAsia="宋体"/>
          <w:sz w:val="24"/>
          <w:szCs w:val="24"/>
          <w:lang w:val="en-US" w:eastAsia="zh-CN"/>
        </w:rPr>
        <w:t>（三）投资情况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本项目总投资为</w:t>
      </w:r>
      <w:r>
        <w:rPr>
          <w:rFonts w:hint="eastAsia" w:ascii="Times New Roman" w:hAnsi="Times New Roman" w:eastAsia="宋体" w:cs="Times New Roman"/>
          <w:color w:val="auto"/>
          <w:sz w:val="24"/>
          <w:szCs w:val="24"/>
          <w:highlight w:val="none"/>
          <w:lang w:val="en-US" w:eastAsia="zh-CN"/>
        </w:rPr>
        <w:t>50</w:t>
      </w:r>
      <w:r>
        <w:rPr>
          <w:rFonts w:hint="default" w:ascii="Times New Roman" w:hAnsi="Times New Roman" w:eastAsia="宋体" w:cs="Times New Roman"/>
          <w:color w:val="auto"/>
          <w:sz w:val="24"/>
          <w:szCs w:val="24"/>
          <w:highlight w:val="none"/>
          <w:lang w:val="en-US" w:eastAsia="zh-CN"/>
        </w:rPr>
        <w:t>万元，其中环保投资为</w:t>
      </w:r>
      <w:r>
        <w:rPr>
          <w:rFonts w:hint="eastAsia" w:ascii="Times New Roman" w:hAnsi="Times New Roman" w:eastAsia="宋体" w:cs="Times New Roman"/>
          <w:color w:val="auto"/>
          <w:sz w:val="24"/>
          <w:szCs w:val="24"/>
          <w:highlight w:val="none"/>
          <w:lang w:val="en-US" w:eastAsia="zh-CN"/>
        </w:rPr>
        <w:t>16.2</w:t>
      </w:r>
      <w:r>
        <w:rPr>
          <w:rFonts w:hint="default" w:ascii="Times New Roman" w:hAnsi="Times New Roman" w:eastAsia="宋体" w:cs="Times New Roman"/>
          <w:color w:val="auto"/>
          <w:sz w:val="24"/>
          <w:szCs w:val="24"/>
          <w:highlight w:val="none"/>
          <w:lang w:val="en-US" w:eastAsia="zh-CN"/>
        </w:rPr>
        <w:t>万元，占总投资的</w:t>
      </w:r>
      <w:r>
        <w:rPr>
          <w:rFonts w:hint="eastAsia" w:ascii="Times New Roman" w:hAnsi="Times New Roman" w:eastAsia="宋体" w:cs="Times New Roman"/>
          <w:color w:val="auto"/>
          <w:sz w:val="24"/>
          <w:szCs w:val="24"/>
          <w:highlight w:val="none"/>
          <w:lang w:val="en-US" w:eastAsia="zh-CN"/>
        </w:rPr>
        <w:t>32.4</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（四）验收范围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本次验收的范围为</w:t>
      </w:r>
      <w:r>
        <w:rPr>
          <w:rFonts w:hint="eastAsia" w:ascii="Times New Roman" w:hAnsi="Times New Roman" w:eastAsia="宋体" w:cs="Times New Roman"/>
          <w:color w:val="auto"/>
          <w:sz w:val="24"/>
          <w:szCs w:val="24"/>
          <w:highlight w:val="none"/>
          <w:lang w:val="en-US" w:eastAsia="zh-CN"/>
        </w:rPr>
        <w:t>新乡市豆乐食品有限公司年产300吨豆制品制造项目</w:t>
      </w:r>
      <w:r>
        <w:rPr>
          <w:rFonts w:hint="default" w:ascii="Times New Roman" w:hAnsi="Times New Roman" w:eastAsia="宋体" w:cs="Times New Roman"/>
          <w:color w:val="auto"/>
          <w:sz w:val="24"/>
          <w:szCs w:val="24"/>
          <w:highlight w:val="none"/>
          <w:lang w:val="en-US" w:eastAsia="zh-CN"/>
        </w:rPr>
        <w:t>的主体工程、环保工程、公用工程的建设、运行及环保要求的落实情况。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二、项目变动情况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生活垃圾未体现。新增破碎机1台，磨浆机新增4台。本项目原环评磨浆机新增9台，无破碎机.根据设备铭牌显示原FDM-Z220磨浆机9台，每台每日产能400kg共3600kg，现在FDM-Z220磨浆机2台产能400kg/d，MJJ-305-V磨浆机2台400kg/d，MJJ-304-V磨浆机6台200kg/d.总体产能和原料使用量均不增加，不新增污染污种类和排放量，依据《污染影响类建设项目重大变动清单》，不属于重大变动，符合验收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三、环境保护设施建设情况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w:t>
      </w:r>
      <w:r>
        <w:rPr>
          <w:rFonts w:hint="default" w:ascii="Times New Roman" w:hAnsi="Times New Roman" w:eastAsia="宋体" w:cs="Times New Roman"/>
          <w:color w:val="auto"/>
          <w:sz w:val="24"/>
          <w:szCs w:val="24"/>
          <w:highlight w:val="none"/>
          <w:lang w:val="en-US" w:eastAsia="zh-CN"/>
        </w:rPr>
        <w:t>项目</w:t>
      </w:r>
      <w:r>
        <w:rPr>
          <w:rFonts w:hint="eastAsia" w:ascii="Times New Roman" w:hAnsi="Times New Roman" w:eastAsia="宋体" w:cs="Times New Roman"/>
          <w:color w:val="auto"/>
          <w:sz w:val="24"/>
          <w:szCs w:val="24"/>
          <w:highlight w:val="none"/>
          <w:lang w:val="en-US" w:eastAsia="zh-CN"/>
        </w:rPr>
        <w:t>废水</w:t>
      </w:r>
      <w:r>
        <w:rPr>
          <w:rFonts w:hint="default" w:ascii="Times New Roman" w:hAnsi="Times New Roman" w:eastAsia="宋体" w:cs="Times New Roman"/>
          <w:color w:val="auto"/>
          <w:sz w:val="24"/>
          <w:szCs w:val="24"/>
          <w:highlight w:val="none"/>
          <w:lang w:val="en-US" w:eastAsia="zh-CN"/>
        </w:rPr>
        <w:t>主要包括</w:t>
      </w:r>
      <w:r>
        <w:rPr>
          <w:rFonts w:hint="eastAsia" w:ascii="Times New Roman" w:hAnsi="Times New Roman" w:eastAsia="宋体" w:cs="Times New Roman"/>
          <w:color w:val="auto"/>
          <w:sz w:val="24"/>
          <w:szCs w:val="24"/>
          <w:highlight w:val="none"/>
          <w:lang w:val="en-US" w:eastAsia="zh-CN"/>
        </w:rPr>
        <w:t>反渗透装置用水、生产废水（黄豆浸泡用水、</w:t>
      </w:r>
      <w:r>
        <w:rPr>
          <w:rFonts w:hint="default" w:ascii="Times New Roman" w:hAnsi="Times New Roman" w:eastAsia="宋体" w:cs="Times New Roman"/>
          <w:color w:val="auto"/>
          <w:sz w:val="24"/>
          <w:szCs w:val="24"/>
          <w:highlight w:val="none"/>
          <w:lang w:val="en-US" w:eastAsia="zh-CN"/>
        </w:rPr>
        <w:t>设备清洗</w:t>
      </w:r>
      <w:r>
        <w:rPr>
          <w:rFonts w:hint="eastAsia" w:ascii="Times New Roman" w:hAnsi="Times New Roman" w:eastAsia="宋体" w:cs="Times New Roman"/>
          <w:color w:val="auto"/>
          <w:sz w:val="24"/>
          <w:szCs w:val="24"/>
          <w:highlight w:val="none"/>
          <w:lang w:val="en-US" w:eastAsia="zh-CN"/>
        </w:rPr>
        <w:t>用</w:t>
      </w:r>
      <w:r>
        <w:rPr>
          <w:rFonts w:hint="default" w:ascii="Times New Roman" w:hAnsi="Times New Roman" w:eastAsia="宋体" w:cs="Times New Roman"/>
          <w:color w:val="auto"/>
          <w:sz w:val="24"/>
          <w:szCs w:val="24"/>
          <w:highlight w:val="none"/>
          <w:lang w:val="en-US" w:eastAsia="zh-CN"/>
        </w:rPr>
        <w:t>水</w:t>
      </w:r>
      <w:r>
        <w:rPr>
          <w:rFonts w:hint="eastAsia" w:ascii="Times New Roman" w:hAnsi="Times New Roman" w:eastAsia="宋体" w:cs="Times New Roman"/>
          <w:color w:val="auto"/>
          <w:sz w:val="24"/>
          <w:szCs w:val="24"/>
          <w:highlight w:val="none"/>
          <w:lang w:val="en-US" w:eastAsia="zh-CN"/>
        </w:rPr>
        <w:t>）和生活污水。以上废水混合后经厂区总排口排放至新乡市卫辉中州水务有限公司唐庄污水处理厂进一步处理。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该项目生产过程中产生的噪声主要</w:t>
      </w:r>
      <w:r>
        <w:rPr>
          <w:rFonts w:hint="eastAsia" w:ascii="Times New Roman" w:hAnsi="Times New Roman" w:eastAsia="宋体" w:cs="Times New Roman"/>
          <w:color w:val="auto"/>
          <w:sz w:val="24"/>
          <w:szCs w:val="24"/>
          <w:highlight w:val="none"/>
          <w:lang w:val="en-US" w:eastAsia="zh-CN"/>
        </w:rPr>
        <w:t>机械设备运行噪声</w:t>
      </w:r>
      <w:r>
        <w:rPr>
          <w:rFonts w:hint="default" w:ascii="Times New Roman" w:hAnsi="Times New Roman" w:eastAsia="宋体" w:cs="Times New Roman"/>
          <w:color w:val="auto"/>
          <w:sz w:val="24"/>
          <w:szCs w:val="24"/>
          <w:highlight w:val="none"/>
          <w:lang w:val="en-US" w:eastAsia="zh-CN"/>
        </w:rPr>
        <w:t>，工程噪声源强在70~85dB（A）。项目选用低噪声设备，采用加大减震基础，安装减震装置。合理安排作业时间，合理布局，采用封闭式生产车间，使用隔声墙体，厂内设置绿化带隔声。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本项目固体废物为一般固体废物。包括生产过程中产生的豆渣、废包装袋、污水处理站产生的污泥。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豆渣：豆渣经脱水200t（含水率50%）后在一般固废间暂存，定期作为饲料外售至养猪场。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）废包装袋：本项目拆包过程中废包装袋经收集后暂存于一般固废暂存间，定期外售综合利用。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）污泥：厂区污水处理站运行一段时间后会产生污泥，将其通过板框压滤机脱水后暂存于污水处理站中的污泥暂存间，定期拉至填埋场填埋。</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0"/>
        <w:rPr>
          <w:rFonts w:hint="default" w:ascii="Times New Roman" w:hAnsi="Times New Roman" w:eastAsia="宋体" w:cs="Times New Roman"/>
          <w:b/>
          <w:bCs/>
          <w:color w:val="auto"/>
          <w:sz w:val="28"/>
          <w:szCs w:val="28"/>
          <w:highlight w:val="none"/>
          <w:lang w:val="en-US" w:eastAsia="zh-CN"/>
        </w:rPr>
      </w:pPr>
      <w:r>
        <w:rPr>
          <w:rFonts w:hint="default" w:ascii="Times New Roman" w:hAnsi="Times New Roman" w:eastAsia="宋体" w:cs="Times New Roman"/>
          <w:b/>
          <w:bCs/>
          <w:color w:val="auto"/>
          <w:sz w:val="28"/>
          <w:szCs w:val="28"/>
          <w:highlight w:val="none"/>
          <w:lang w:val="en-US" w:eastAsia="zh-CN"/>
        </w:rPr>
        <w:t>四、</w:t>
      </w:r>
      <w:r>
        <w:rPr>
          <w:rFonts w:hint="eastAsia" w:ascii="Times New Roman" w:hAnsi="Times New Roman" w:eastAsia="宋体" w:cs="Times New Roman"/>
          <w:b/>
          <w:bCs/>
          <w:color w:val="auto"/>
          <w:sz w:val="28"/>
          <w:szCs w:val="28"/>
          <w:highlight w:val="none"/>
          <w:lang w:val="en-US" w:eastAsia="zh-CN"/>
        </w:rPr>
        <w:t>环境保护</w:t>
      </w:r>
      <w:r>
        <w:rPr>
          <w:rFonts w:hint="default" w:ascii="Times New Roman" w:hAnsi="Times New Roman" w:eastAsia="宋体" w:cs="Times New Roman"/>
          <w:b/>
          <w:bCs/>
          <w:color w:val="auto"/>
          <w:sz w:val="28"/>
          <w:szCs w:val="28"/>
          <w:highlight w:val="none"/>
          <w:lang w:val="en-US" w:eastAsia="zh-CN"/>
        </w:rPr>
        <w:t>设施</w:t>
      </w:r>
      <w:r>
        <w:rPr>
          <w:rFonts w:hint="eastAsia" w:ascii="Times New Roman" w:hAnsi="Times New Roman" w:eastAsia="宋体" w:cs="Times New Roman"/>
          <w:b/>
          <w:bCs/>
          <w:color w:val="auto"/>
          <w:sz w:val="28"/>
          <w:szCs w:val="28"/>
          <w:highlight w:val="none"/>
          <w:lang w:val="en-US" w:eastAsia="zh-CN"/>
        </w:rPr>
        <w:t>调试效果</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（一）污染物达标排放情况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生产过程中会产生生产废水和生活污水，生产用水主要为反渗透装置用水、黄豆浸泡用水、磨浆用水、设备清洗用水。其中磨浆用水随物料进入煮浆工段，生产废水为反渗透浓水、浸泡废水、设备清洗废水、车间地面清洗废水和尾浆水。其中设备清洗废水和尾浆水作为饲料外售至养殖场，不外排，反渗透浓水部分用作车间地面清洗，外排废水为反渗透浓水、生活污水、浸泡废水、车间地面清洗废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生活污水：本项目员工40人，单班生产，年工作200天，员工均不在厂内食宿。生活用水量按30 L/人·d计，则生活用水量为1.2m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/d（240m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/a），排放系数以0.8计，则生活污水排放量为0.96m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/d（192m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/a）。类比同类水质，生活污水水质污染物浓度为：COD 300mg/L、SS 250mg/L、NH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 25mg/L、TP2mg/L、TN32mg/L，评价要求项目污水经厂区已有化粪池处理，处理后COD 250mg/L、SS 180mg/L、NH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 25mg/L、TP2mg/L、TN25mg/L，产生量为COD 0.0672t/a、SS 0.048t/a、NH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 0.0048t/a、TP 0.000384t/a、TN 0.006144t/a。生活污水经化粪池处理后与浸泡废水、车间地面清洗水、反渗透浓水混合后经厂区总排口排放至新乡市卫辉中州水务有限公司唐庄污水处理厂进一步处理。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生产废水</w:t>
      </w:r>
      <w:r>
        <w:rPr>
          <w:rFonts w:hint="eastAsia" w:ascii="Times New Roman" w:hAnsi="Times New Roman" w:eastAsia="宋体" w:cs="Times New Roman"/>
          <w:color w:val="auto"/>
          <w:sz w:val="24"/>
          <w:szCs w:val="24"/>
          <w:highlight w:val="none"/>
          <w:lang w:val="en-US" w:eastAsia="zh-CN"/>
        </w:rPr>
        <w:t>：主要包括反渗透装置用水、生产废水（黄豆浸泡用水、设备清洗用水）和生活污水。以上废水混合后经厂区总排口排放至新乡市卫辉中州水务有限公司唐庄污水处理厂进一步处理，混合废水产生量为14.0847t/d（2816.94t/a），各项废水经混合后水质为COD64.3808mg/L、SS27.612mg/L、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-N4.9838mg/L、TP1.1377mg/L、TN4.036mg/L，能够满足新乡市卫辉中州水务有限公司唐庄污水处理厂收水水质</w:t>
      </w:r>
      <w:r>
        <w:rPr>
          <w:rFonts w:hint="default" w:ascii="Times New Roman" w:hAnsi="Times New Roman" w:eastAsia="宋体" w:cs="Times New Roman"/>
          <w:color w:val="auto"/>
          <w:sz w:val="24"/>
          <w:szCs w:val="24"/>
          <w:highlight w:val="none"/>
          <w:lang w:val="en-US" w:eastAsia="zh-CN"/>
        </w:rPr>
        <w:t>COD360mg/L、SS280mg/L、NH</w:t>
      </w:r>
      <w:r>
        <w:rPr>
          <w:rFonts w:hint="default" w:ascii="Times New Roman" w:hAnsi="Times New Roman" w:eastAsia="宋体" w:cs="Times New Roman"/>
          <w:color w:val="auto"/>
          <w:sz w:val="24"/>
          <w:szCs w:val="24"/>
          <w:highlight w:val="none"/>
          <w:vertAlign w:val="subscript"/>
          <w:lang w:val="en-US" w:eastAsia="zh-CN"/>
        </w:rPr>
        <w:t>3</w:t>
      </w:r>
      <w:r>
        <w:rPr>
          <w:rFonts w:hint="default" w:ascii="Times New Roman" w:hAnsi="Times New Roman" w:eastAsia="宋体" w:cs="Times New Roman"/>
          <w:color w:val="auto"/>
          <w:sz w:val="24"/>
          <w:szCs w:val="24"/>
          <w:highlight w:val="none"/>
          <w:lang w:val="en-US" w:eastAsia="zh-CN"/>
        </w:rPr>
        <w:t>-N30mg/L、TP5.0mg/L、TN40mg/L</w:t>
      </w:r>
      <w:r>
        <w:rPr>
          <w:rFonts w:hint="eastAsia" w:ascii="Times New Roman" w:hAnsi="Times New Roman" w:eastAsia="宋体" w:cs="Times New Roman"/>
          <w:color w:val="auto"/>
          <w:sz w:val="24"/>
          <w:szCs w:val="24"/>
          <w:highlight w:val="none"/>
          <w:lang w:val="en-US" w:eastAsia="zh-CN"/>
        </w:rPr>
        <w:t>水质要求。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新乡市卫辉中州水务有限公司唐庄污水处理厂排水水质为COD40mg/L，SS10mg/L，NH3-N2mg/L，TP0.4mg/L、TN15mg/L，经卫辉中州水务有限公司唐庄污水处理厂进一步处理后，本项目废水排放总量分别为COD</w:t>
      </w:r>
      <w:r>
        <w:rPr>
          <w:rFonts w:hint="default" w:ascii="Times New Roman" w:hAnsi="Times New Roman" w:eastAsia="宋体" w:cs="Times New Roman"/>
          <w:color w:val="auto"/>
          <w:sz w:val="24"/>
          <w:szCs w:val="24"/>
          <w:highlight w:val="none"/>
          <w:lang w:val="en-US" w:eastAsia="zh-CN"/>
        </w:rPr>
        <w:t>0.1127</w:t>
      </w:r>
      <w:r>
        <w:rPr>
          <w:rFonts w:hint="eastAsia" w:ascii="Times New Roman" w:hAnsi="Times New Roman" w:eastAsia="宋体" w:cs="Times New Roman"/>
          <w:color w:val="auto"/>
          <w:sz w:val="24"/>
          <w:szCs w:val="24"/>
          <w:highlight w:val="none"/>
          <w:lang w:val="en-US" w:eastAsia="zh-CN"/>
        </w:rPr>
        <w:t>t/a、SS</w:t>
      </w:r>
      <w:r>
        <w:rPr>
          <w:rFonts w:hint="default" w:ascii="Times New Roman" w:hAnsi="Times New Roman" w:eastAsia="宋体" w:cs="Times New Roman"/>
          <w:color w:val="auto"/>
          <w:sz w:val="24"/>
          <w:szCs w:val="24"/>
          <w:highlight w:val="none"/>
          <w:lang w:val="en-US" w:eastAsia="zh-CN"/>
        </w:rPr>
        <w:t>0.02817</w:t>
      </w:r>
      <w:r>
        <w:rPr>
          <w:rFonts w:hint="eastAsia" w:ascii="Times New Roman" w:hAnsi="Times New Roman" w:eastAsia="宋体" w:cs="Times New Roman"/>
          <w:color w:val="auto"/>
          <w:sz w:val="24"/>
          <w:szCs w:val="24"/>
          <w:highlight w:val="none"/>
          <w:lang w:val="en-US" w:eastAsia="zh-CN"/>
        </w:rPr>
        <w:t>t/a、NH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w:t>
      </w:r>
      <w:r>
        <w:rPr>
          <w:rFonts w:hint="default" w:ascii="Times New Roman" w:hAnsi="Times New Roman" w:eastAsia="宋体" w:cs="Times New Roman"/>
          <w:color w:val="auto"/>
          <w:sz w:val="24"/>
          <w:szCs w:val="24"/>
          <w:highlight w:val="none"/>
          <w:lang w:val="en-US" w:eastAsia="zh-CN"/>
        </w:rPr>
        <w:t>0.005634</w:t>
      </w:r>
      <w:r>
        <w:rPr>
          <w:rFonts w:hint="eastAsia" w:ascii="Times New Roman" w:hAnsi="Times New Roman" w:eastAsia="宋体" w:cs="Times New Roman"/>
          <w:color w:val="auto"/>
          <w:sz w:val="24"/>
          <w:szCs w:val="24"/>
          <w:highlight w:val="none"/>
          <w:lang w:val="en-US" w:eastAsia="zh-CN"/>
        </w:rPr>
        <w:t>t/a、TP</w:t>
      </w:r>
      <w:r>
        <w:rPr>
          <w:rFonts w:hint="default" w:ascii="Times New Roman" w:hAnsi="Times New Roman" w:eastAsia="宋体" w:cs="Times New Roman"/>
          <w:color w:val="auto"/>
          <w:sz w:val="24"/>
          <w:szCs w:val="24"/>
          <w:highlight w:val="none"/>
          <w:lang w:val="en-US" w:eastAsia="zh-CN"/>
        </w:rPr>
        <w:t>0.001127</w:t>
      </w:r>
      <w:r>
        <w:rPr>
          <w:rFonts w:hint="eastAsia" w:ascii="Times New Roman" w:hAnsi="Times New Roman" w:eastAsia="宋体" w:cs="Times New Roman"/>
          <w:color w:val="auto"/>
          <w:sz w:val="24"/>
          <w:szCs w:val="24"/>
          <w:highlight w:val="none"/>
          <w:lang w:val="en-US" w:eastAsia="zh-CN"/>
        </w:rPr>
        <w:t>t/a、TN</w:t>
      </w:r>
      <w:r>
        <w:rPr>
          <w:rFonts w:hint="default" w:ascii="Times New Roman" w:hAnsi="Times New Roman" w:eastAsia="宋体" w:cs="Times New Roman"/>
          <w:color w:val="auto"/>
          <w:sz w:val="24"/>
          <w:szCs w:val="24"/>
          <w:highlight w:val="none"/>
          <w:lang w:val="en-US" w:eastAsia="zh-CN"/>
        </w:rPr>
        <w:t>0.04225</w:t>
      </w:r>
      <w:r>
        <w:rPr>
          <w:rFonts w:hint="eastAsia" w:ascii="Times New Roman" w:hAnsi="Times New Roman" w:eastAsia="宋体" w:cs="Times New Roman"/>
          <w:color w:val="auto"/>
          <w:sz w:val="24"/>
          <w:szCs w:val="24"/>
          <w:highlight w:val="none"/>
          <w:lang w:val="en-US" w:eastAsia="zh-CN"/>
        </w:rPr>
        <w:t>t/a。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）噪声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本项目噪声主要来自于设备运行，采取设备安装减振基础、车间隔声等措施后，由监测结果可知，企业厂界昼间噪声值范围为5</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～5</w:t>
      </w:r>
      <w:r>
        <w:rPr>
          <w:rFonts w:hint="eastAsia" w:ascii="Times New Roman" w:hAnsi="Times New Roman" w:eastAsia="宋体" w:cs="Times New Roman"/>
          <w:color w:val="auto"/>
          <w:sz w:val="24"/>
          <w:szCs w:val="24"/>
          <w:highlight w:val="none"/>
          <w:lang w:val="en-US" w:eastAsia="zh-CN"/>
        </w:rPr>
        <w:t>7</w:t>
      </w:r>
      <w:r>
        <w:rPr>
          <w:rFonts w:hint="default" w:ascii="Times New Roman" w:hAnsi="Times New Roman" w:eastAsia="宋体" w:cs="Times New Roman"/>
          <w:color w:val="auto"/>
          <w:sz w:val="24"/>
          <w:szCs w:val="24"/>
          <w:highlight w:val="none"/>
          <w:lang w:val="en-US" w:eastAsia="zh-CN"/>
        </w:rPr>
        <w:t>dB(A)，夜间噪声值范围为</w:t>
      </w:r>
      <w:r>
        <w:rPr>
          <w:rFonts w:hint="eastAsia" w:ascii="Times New Roman" w:hAnsi="Times New Roman" w:eastAsia="宋体" w:cs="Times New Roman"/>
          <w:color w:val="auto"/>
          <w:sz w:val="24"/>
          <w:szCs w:val="24"/>
          <w:highlight w:val="none"/>
          <w:lang w:val="en-US" w:eastAsia="zh-CN"/>
        </w:rPr>
        <w:t>40</w:t>
      </w:r>
      <w:r>
        <w:rPr>
          <w:rFonts w:hint="default" w:ascii="Times New Roman" w:hAnsi="Times New Roman" w:eastAsia="宋体" w:cs="Times New Roman"/>
          <w:color w:val="auto"/>
          <w:sz w:val="24"/>
          <w:szCs w:val="24"/>
          <w:highlight w:val="none"/>
          <w:lang w:val="en-US" w:eastAsia="zh-CN"/>
        </w:rPr>
        <w:t>～4</w:t>
      </w: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固体废物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一般固废主要为原料包装产生的废包装袋、豆渣及污水处理产生的污泥。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（1）豆渣</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w:t>
      </w:r>
      <w:r>
        <w:rPr>
          <w:rFonts w:hint="default" w:ascii="Times New Roman" w:hAnsi="Times New Roman" w:eastAsia="宋体" w:cs="Times New Roman"/>
          <w:color w:val="auto"/>
          <w:sz w:val="24"/>
          <w:szCs w:val="24"/>
          <w:highlight w:val="none"/>
          <w:lang w:val="en-US" w:eastAsia="zh-CN"/>
        </w:rPr>
        <w:t>磨浆工序会产生豆渣</w:t>
      </w:r>
      <w:r>
        <w:rPr>
          <w:rFonts w:hint="eastAsia" w:ascii="Times New Roman" w:hAnsi="Times New Roman" w:eastAsia="宋体" w:cs="Times New Roman"/>
          <w:color w:val="auto"/>
          <w:sz w:val="24"/>
          <w:szCs w:val="24"/>
          <w:highlight w:val="none"/>
          <w:lang w:val="en-US" w:eastAsia="zh-CN"/>
        </w:rPr>
        <w:t>，黄豆磨浆出渣率为50%，本项目年使用黄豆500t，泡发后的湿黄豆为1000t，豆渣产生量为500吨（含水率80%）。评价提出，豆渣经脱水200t（含水率50%）后在一般固废间暂存，定期作为饲料外售至养猪场。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（2）废包装材料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外购的黄豆均为袋装，物料使用完毕会产生废包装袋，由企业提供的资料可知，废包装袋的重量约占原料质量的0.5%，本项目原料黄豆用量为500t/a，则废包装袋质量为2.5t/a。评价提出，废包装袋收集在一般固废暂存间暂存，定期外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（3）污泥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厂区污水处理设施会产生污泥，无有毒有害物质，属于一般固废，参考《集中式污染治理设施产排污系数手册》（2010 年修订），污泥产生量计算公式为：S=k4Q+k3C，k3：城镇污水处理厂或工业废水集中处理设施的化学污泥产生系数取4.53吨/吨-絮凝剂使用量，项目处理废水500.14t，使用絮凝剂C按照1kg/1吨-污水计算，絮凝剂使用量0.55t，k4：工业废水集中处理设施的物理与生化污泥综合产生系数6吨/万吨-废水处理量经计算，本项目年产污泥约为</w:t>
      </w:r>
      <w:r>
        <w:rPr>
          <w:rFonts w:hint="eastAsia" w:ascii="Times New Roman" w:hAnsi="Times New Roman" w:eastAsia="宋体" w:cs="Times New Roman"/>
          <w:color w:val="auto"/>
          <w:sz w:val="24"/>
          <w:szCs w:val="24"/>
          <w:highlight w:val="none"/>
          <w:lang w:val="en-US" w:eastAsia="zh-CN"/>
        </w:rPr>
        <w:t>2.8215</w:t>
      </w:r>
      <w:r>
        <w:rPr>
          <w:rFonts w:hint="default" w:ascii="Times New Roman" w:hAnsi="Times New Roman" w:eastAsia="宋体" w:cs="Times New Roman"/>
          <w:color w:val="auto"/>
          <w:sz w:val="24"/>
          <w:szCs w:val="24"/>
          <w:highlight w:val="none"/>
          <w:lang w:val="en-US" w:eastAsia="zh-CN"/>
        </w:rPr>
        <w:t>t/a（以含水率80%计）。污泥经脱水至含水率小于60%，年产生量约为</w:t>
      </w:r>
      <w:r>
        <w:rPr>
          <w:rFonts w:hint="eastAsia" w:ascii="Times New Roman" w:hAnsi="Times New Roman" w:eastAsia="宋体" w:cs="Times New Roman"/>
          <w:color w:val="auto"/>
          <w:sz w:val="24"/>
          <w:szCs w:val="24"/>
          <w:highlight w:val="none"/>
          <w:lang w:val="en-US" w:eastAsia="zh-CN"/>
        </w:rPr>
        <w:t>1.411</w:t>
      </w:r>
      <w:r>
        <w:rPr>
          <w:rFonts w:hint="default" w:ascii="Times New Roman" w:hAnsi="Times New Roman" w:eastAsia="宋体" w:cs="Times New Roman"/>
          <w:color w:val="auto"/>
          <w:sz w:val="24"/>
          <w:szCs w:val="24"/>
          <w:highlight w:val="none"/>
          <w:lang w:val="en-US" w:eastAsia="zh-CN"/>
        </w:rPr>
        <w:t>t/a，暂存于密闭的污泥池，定期运至垃圾填埋场填埋处置。</w:t>
      </w:r>
      <w:r>
        <w:rPr>
          <w:rFonts w:hint="eastAsia" w:ascii="Times New Roman" w:hAnsi="Times New Roman" w:eastAsia="宋体" w:cs="Times New Roman"/>
          <w:color w:val="auto"/>
          <w:sz w:val="24"/>
          <w:szCs w:val="24"/>
          <w:highlight w:val="none"/>
          <w:lang w:val="en-US" w:eastAsia="zh-CN"/>
        </w:rPr>
        <w:t>对周围环境影响较小。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w:t>
      </w:r>
      <w:r>
        <w:rPr>
          <w:rFonts w:hint="default" w:ascii="Times New Roman" w:hAnsi="Times New Roman" w:eastAsia="宋体" w:cs="Times New Roman"/>
          <w:color w:val="auto"/>
          <w:sz w:val="24"/>
          <w:szCs w:val="24"/>
          <w:highlight w:val="none"/>
          <w:lang w:val="en-US" w:eastAsia="zh-CN"/>
        </w:rPr>
        <w:t>污染物排放总量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本项目污染物总量控制指标为COD0.1127t/a、SS0.02817t/a、NH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-N0.00563t/a、TP0.00113 t/a、TN0.04225 t/a。</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新乡市生态环境局关于转发&lt;河南省生态环境厅关于印发建设项目主要污染物排放总量指标管理工作内部规程的通知&gt;的通知》，建设项目环境影响评价文件中应明确建设项目主要污染物排放总量指标及替代削减方案。本项目属于新建项目，新增污染物排放量为COD0.1127 t/a、NH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-N0.00563 t/a、该项目重点污染物需要倍量替代，经双倍替代后所需替代量COD0.2254 t/a、NH</w:t>
      </w:r>
      <w:r>
        <w:rPr>
          <w:rFonts w:hint="eastAsia" w:ascii="Times New Roman" w:hAnsi="Times New Roman" w:eastAsia="宋体" w:cs="Times New Roman"/>
          <w:color w:val="auto"/>
          <w:sz w:val="24"/>
          <w:szCs w:val="24"/>
          <w:highlight w:val="none"/>
          <w:vertAlign w:val="subscript"/>
          <w:lang w:val="en-US" w:eastAsia="zh-CN"/>
        </w:rPr>
        <w:t>3</w:t>
      </w:r>
      <w:r>
        <w:rPr>
          <w:rFonts w:hint="eastAsia" w:ascii="Times New Roman" w:hAnsi="Times New Roman" w:eastAsia="宋体" w:cs="Times New Roman"/>
          <w:color w:val="auto"/>
          <w:sz w:val="24"/>
          <w:szCs w:val="24"/>
          <w:highlight w:val="none"/>
          <w:lang w:val="en-US" w:eastAsia="zh-CN"/>
        </w:rPr>
        <w:t>-N0.01127t/a、其中COD和氨氮拟从卫辉市现有总量替代。</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rPr>
          <w:rFonts w:ascii="宋体" w:hAnsi="宋体" w:eastAsia="宋体"/>
          <w:b/>
          <w:bCs/>
          <w:color w:val="auto"/>
          <w:sz w:val="28"/>
          <w:szCs w:val="28"/>
          <w:highlight w:val="none"/>
        </w:rPr>
      </w:pPr>
      <w:r>
        <w:rPr>
          <w:rFonts w:hint="default" w:ascii="Times New Roman" w:hAnsi="Times New Roman" w:eastAsia="宋体" w:cs="Times New Roman"/>
          <w:b/>
          <w:bCs/>
          <w:color w:val="auto"/>
          <w:sz w:val="28"/>
          <w:szCs w:val="28"/>
          <w:highlight w:val="none"/>
        </w:rPr>
        <w:t>五、</w:t>
      </w:r>
      <w:r>
        <w:rPr>
          <w:rFonts w:hint="eastAsia" w:ascii="宋体" w:hAnsi="宋体" w:eastAsia="宋体"/>
          <w:b/>
          <w:bCs/>
          <w:color w:val="auto"/>
          <w:sz w:val="28"/>
          <w:szCs w:val="28"/>
          <w:highlight w:val="none"/>
        </w:rPr>
        <w:t>工程建设对环境的影响</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验收监测期间，项目各项污染物均能够做到达标排放或有效处理处置，项目建设对周围环境影响很小，满足验收要求。</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562" w:firstLineChars="200"/>
        <w:jc w:val="both"/>
        <w:textAlignment w:val="auto"/>
        <w:outlineLvl w:val="9"/>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z w:val="28"/>
          <w:szCs w:val="28"/>
          <w:highlight w:val="none"/>
        </w:rPr>
        <w:t>六、验收结论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新乡市豆乐食品有限公司年产300吨豆制品制造项目</w:t>
      </w:r>
      <w:r>
        <w:rPr>
          <w:rFonts w:hint="default" w:ascii="Times New Roman" w:hAnsi="Times New Roman" w:eastAsia="宋体" w:cs="Times New Roman"/>
          <w:color w:val="auto"/>
          <w:sz w:val="24"/>
          <w:szCs w:val="24"/>
          <w:highlight w:val="none"/>
          <w:lang w:val="en-US" w:eastAsia="zh-CN"/>
        </w:rPr>
        <w:t>在建设过程中，基本按照环评及其批复要求落实相关环保设施，各项污染物能够实现达标排放或合理处置，项目建设对环境影响很小。</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综上所述，</w:t>
      </w:r>
      <w:r>
        <w:rPr>
          <w:rFonts w:hint="eastAsia" w:ascii="Times New Roman" w:hAnsi="Times New Roman" w:eastAsia="宋体" w:cs="Times New Roman"/>
          <w:color w:val="auto"/>
          <w:sz w:val="24"/>
          <w:szCs w:val="24"/>
          <w:highlight w:val="none"/>
          <w:lang w:val="en-US" w:eastAsia="zh-CN"/>
        </w:rPr>
        <w:t>新乡市豆乐食品有限公司年产300吨豆制品制造项目</w:t>
      </w:r>
      <w:r>
        <w:rPr>
          <w:rFonts w:hint="default" w:ascii="Times New Roman" w:hAnsi="Times New Roman" w:eastAsia="宋体" w:cs="Times New Roman"/>
          <w:color w:val="auto"/>
          <w:sz w:val="24"/>
          <w:szCs w:val="24"/>
          <w:highlight w:val="none"/>
          <w:lang w:val="en-US" w:eastAsia="zh-CN"/>
        </w:rPr>
        <w:t>不存在《建设项目竣工环境保护验收暂行办法》中所规定的验收不合格情形，验收组一致同意本项目通过</w:t>
      </w:r>
      <w:r>
        <w:rPr>
          <w:rFonts w:hint="eastAsia" w:ascii="Times New Roman" w:hAnsi="Times New Roman" w:eastAsia="宋体" w:cs="Times New Roman"/>
          <w:color w:val="auto"/>
          <w:sz w:val="24"/>
          <w:szCs w:val="24"/>
          <w:highlight w:val="none"/>
          <w:lang w:val="en-US" w:eastAsia="zh-CN"/>
        </w:rPr>
        <w:t>本</w:t>
      </w:r>
      <w:r>
        <w:rPr>
          <w:rFonts w:hint="default" w:ascii="Times New Roman" w:hAnsi="Times New Roman" w:eastAsia="宋体" w:cs="Times New Roman"/>
          <w:color w:val="auto"/>
          <w:sz w:val="24"/>
          <w:szCs w:val="24"/>
          <w:highlight w:val="none"/>
          <w:lang w:val="en-US" w:eastAsia="zh-CN"/>
        </w:rPr>
        <w:t>项目竣工环境保护验收。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rPr>
          <w:rFonts w:hint="eastAsia" w:ascii="宋体" w:hAnsi="宋体" w:eastAsia="宋体"/>
          <w:b/>
          <w:bCs/>
          <w:sz w:val="28"/>
          <w:szCs w:val="28"/>
          <w:lang w:eastAsia="zh-CN"/>
        </w:rPr>
      </w:pPr>
      <w:r>
        <w:rPr>
          <w:rFonts w:hint="eastAsia" w:ascii="宋体" w:hAnsi="宋体" w:eastAsia="宋体"/>
          <w:b/>
          <w:bCs/>
          <w:sz w:val="28"/>
          <w:szCs w:val="28"/>
          <w:lang w:eastAsia="zh-CN"/>
        </w:rPr>
        <w:t>验收组员信息</w:t>
      </w:r>
    </w:p>
    <w:p>
      <w:pPr>
        <w:pStyle w:val="2"/>
        <w:numPr>
          <w:ilvl w:val="0"/>
          <w:numId w:val="0"/>
        </w:numPr>
        <w:rPr>
          <w:rFonts w:hint="eastAsia"/>
          <w:lang w:val="en-US" w:eastAsia="zh-CN"/>
        </w:rPr>
      </w:pPr>
    </w:p>
    <w:p>
      <w:pPr>
        <w:rPr>
          <w:rFonts w:hint="eastAsia"/>
          <w:lang w:val="en-US" w:eastAsia="zh-CN"/>
        </w:rPr>
      </w:pPr>
    </w:p>
    <w:p>
      <w:pPr>
        <w:snapToGrid w:val="0"/>
        <w:spacing w:after="156" w:afterLines="50"/>
        <w:jc w:val="right"/>
        <w:rPr>
          <w:rFonts w:hint="eastAsia" w:ascii="宋体" w:hAnsi="宋体" w:eastAsia="宋体" w:cs="宋体"/>
          <w:b/>
          <w:bCs/>
          <w:sz w:val="32"/>
          <w:szCs w:val="21"/>
          <w:lang w:val="en-US" w:eastAsia="zh-CN"/>
        </w:rPr>
      </w:pPr>
      <w:r>
        <w:rPr>
          <w:rFonts w:hint="eastAsia" w:ascii="宋体" w:hAnsi="宋体" w:eastAsia="宋体" w:cs="宋体"/>
          <w:b/>
          <w:bCs/>
          <w:sz w:val="32"/>
          <w:szCs w:val="21"/>
          <w:lang w:val="en-US" w:eastAsia="zh-CN"/>
        </w:rPr>
        <w:t>新乡市豆乐食品有限公司</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jc w:val="right"/>
        <w:textAlignment w:val="auto"/>
        <w:outlineLvl w:val="9"/>
        <w:rPr>
          <w:rFonts w:hint="eastAsia" w:ascii="宋体" w:hAnsi="宋体" w:eastAsia="宋体"/>
          <w:b/>
          <w:bCs/>
          <w:sz w:val="28"/>
          <w:szCs w:val="28"/>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pStyle w:val="2"/>
        <w:rPr>
          <w:rFonts w:hint="eastAsia"/>
          <w:lang w:val="en-US" w:eastAsia="zh-CN"/>
        </w:rPr>
      </w:pPr>
      <w:bookmarkStart w:id="2" w:name="_GoBack"/>
      <w:r>
        <w:rPr>
          <w:rFonts w:hint="eastAsia"/>
          <w:lang w:val="en-US" w:eastAsia="zh-CN"/>
        </w:rPr>
        <w:drawing>
          <wp:inline distT="0" distB="0" distL="114300" distR="114300">
            <wp:extent cx="5262880" cy="7237730"/>
            <wp:effectExtent l="0" t="0" r="13970" b="1270"/>
            <wp:docPr id="1" name="图片 1" descr="ea281e7b53855fc5f3798c39f2948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a281e7b53855fc5f3798c39f29480a"/>
                    <pic:cNvPicPr>
                      <a:picLocks noChangeAspect="1"/>
                    </pic:cNvPicPr>
                  </pic:nvPicPr>
                  <pic:blipFill>
                    <a:blip r:embed="rId6"/>
                    <a:stretch>
                      <a:fillRect/>
                    </a:stretch>
                  </pic:blipFill>
                  <pic:spPr>
                    <a:xfrm>
                      <a:off x="0" y="0"/>
                      <a:ext cx="5262880" cy="7237730"/>
                    </a:xfrm>
                    <a:prstGeom prst="rect">
                      <a:avLst/>
                    </a:prstGeom>
                  </pic:spPr>
                </pic:pic>
              </a:graphicData>
            </a:graphic>
          </wp:inline>
        </w:drawing>
      </w:r>
      <w:bookmarkEnd w:id="2"/>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posOffset>2605405</wp:posOffset>
              </wp:positionH>
              <wp:positionV relativeFrom="paragraph">
                <wp:posOffset>0</wp:posOffset>
              </wp:positionV>
              <wp:extent cx="762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5.15pt;margin-top:0pt;height:144pt;width:6pt;mso-position-horizontal-relative:margin;z-index:251659264;mso-width-relative:page;mso-height-relative:page;" filled="f" stroked="f" coordsize="21600,21600" o:gfxdata="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IphA81QAAAAgBAAAPAAAAAAAAAAEAIAAAACIAAABkcnMvZG93bnJldi54&#10;bWxQSwECFAAUAAAACACHTuJAW8E+9DYCAABhBAAADgAAAAAAAAABACAAAAAkAQAAZHJzL2Uyb0Rv&#10;Yy54bWxQSwUGAAAAAAYABgBZAQAAzAUAAAAA&#10;">
              <v:fill on="f" focussize="0,0"/>
              <v:stroke on="f" weight="0.5pt"/>
              <v:imagedata o:title=""/>
              <o:lock v:ext="edit" aspectratio="f"/>
              <v:textbox inset="0mm,0mm,0mm,0mm" style="mso-fit-shape-to-text:t;">
                <w:txbxContent>
                  <w:p>
                    <w:pPr>
                      <w:pStyle w:val="12"/>
                      <w:rPr>
                        <w:rFonts w:hint="default" w:ascii="Times New Roman" w:hAnsi="Times New Roman" w:eastAsia="宋体" w:cs="Times New Roman"/>
                        <w:lang w:eastAsia="zh-CN"/>
                      </w:rPr>
                    </w:pPr>
                    <w:r>
                      <w:rPr>
                        <w:rFonts w:hint="default" w:ascii="Times New Roman" w:hAnsi="Times New Roman" w:eastAsia="宋体" w:cs="Times New Roman"/>
                        <w:lang w:eastAsia="zh-CN"/>
                      </w:rPr>
                      <w:fldChar w:fldCharType="begin"/>
                    </w:r>
                    <w:r>
                      <w:rPr>
                        <w:rFonts w:hint="default" w:ascii="Times New Roman" w:hAnsi="Times New Roman" w:eastAsia="宋体" w:cs="Times New Roman"/>
                        <w:lang w:eastAsia="zh-CN"/>
                      </w:rPr>
                      <w:instrText xml:space="preserve"> PAGE  \* MERGEFORMAT </w:instrText>
                    </w:r>
                    <w:r>
                      <w:rPr>
                        <w:rFonts w:hint="default" w:ascii="Times New Roman" w:hAnsi="Times New Roman" w:eastAsia="宋体" w:cs="Times New Roman"/>
                        <w:lang w:eastAsia="zh-CN"/>
                      </w:rPr>
                      <w:fldChar w:fldCharType="separate"/>
                    </w:r>
                    <w:r>
                      <w:rPr>
                        <w:rFonts w:hint="default" w:ascii="Times New Roman" w:hAnsi="Times New Roman" w:eastAsia="宋体" w:cs="Times New Roman"/>
                        <w:lang w:eastAsia="zh-CN"/>
                      </w:rPr>
                      <w:t>1</w:t>
                    </w:r>
                    <w:r>
                      <w:rPr>
                        <w:rFonts w:hint="default" w:ascii="Times New Roman" w:hAnsi="Times New Roman" w:eastAsia="宋体" w:cs="Times New Roman"/>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695270"/>
    <w:multiLevelType w:val="singleLevel"/>
    <w:tmpl w:val="57695270"/>
    <w:lvl w:ilvl="0" w:tentative="0">
      <w:start w:val="7"/>
      <w:numFmt w:val="chineseCounting"/>
      <w:suff w:val="nothing"/>
      <w:lvlText w:val="%1、"/>
      <w:lvlJc w:val="left"/>
      <w:rPr>
        <w:rFonts w:hint="eastAsia"/>
      </w:rPr>
    </w:lvl>
  </w:abstractNum>
  <w:abstractNum w:abstractNumId="1">
    <w:nsid w:val="5A4C9CCB"/>
    <w:multiLevelType w:val="singleLevel"/>
    <w:tmpl w:val="5A4C9CCB"/>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DNlYzk4NzBkMzExZDZkM2RhNDNlNzk5YTAxYjEifQ=="/>
    <w:docVar w:name="KSO_WPS_MARK_KEY" w:val="5d6fd862-54e6-4e51-bc5c-fcb56f5423e6"/>
  </w:docVars>
  <w:rsids>
    <w:rsidRoot w:val="00295B07"/>
    <w:rsid w:val="00065166"/>
    <w:rsid w:val="0007309C"/>
    <w:rsid w:val="00080736"/>
    <w:rsid w:val="00090B43"/>
    <w:rsid w:val="000A64D0"/>
    <w:rsid w:val="000B3300"/>
    <w:rsid w:val="000B7876"/>
    <w:rsid w:val="001121F2"/>
    <w:rsid w:val="001441DB"/>
    <w:rsid w:val="00174143"/>
    <w:rsid w:val="001E12FD"/>
    <w:rsid w:val="001E4310"/>
    <w:rsid w:val="001F3151"/>
    <w:rsid w:val="00204624"/>
    <w:rsid w:val="00295B07"/>
    <w:rsid w:val="00352B38"/>
    <w:rsid w:val="00392261"/>
    <w:rsid w:val="003938E8"/>
    <w:rsid w:val="003A54B3"/>
    <w:rsid w:val="00422A2B"/>
    <w:rsid w:val="004276A4"/>
    <w:rsid w:val="00433B70"/>
    <w:rsid w:val="00453A2D"/>
    <w:rsid w:val="00455739"/>
    <w:rsid w:val="00524277"/>
    <w:rsid w:val="00544B73"/>
    <w:rsid w:val="005524D7"/>
    <w:rsid w:val="00574B20"/>
    <w:rsid w:val="00616643"/>
    <w:rsid w:val="00774F9F"/>
    <w:rsid w:val="007C309F"/>
    <w:rsid w:val="007C5231"/>
    <w:rsid w:val="007D0B67"/>
    <w:rsid w:val="007E2924"/>
    <w:rsid w:val="007F0035"/>
    <w:rsid w:val="00876640"/>
    <w:rsid w:val="008B30D8"/>
    <w:rsid w:val="008C4959"/>
    <w:rsid w:val="008E592E"/>
    <w:rsid w:val="008E7424"/>
    <w:rsid w:val="009021F0"/>
    <w:rsid w:val="00970983"/>
    <w:rsid w:val="009B4C44"/>
    <w:rsid w:val="009F6467"/>
    <w:rsid w:val="00A36FC6"/>
    <w:rsid w:val="00A54194"/>
    <w:rsid w:val="00B01231"/>
    <w:rsid w:val="00B21C67"/>
    <w:rsid w:val="00B85659"/>
    <w:rsid w:val="00C360C1"/>
    <w:rsid w:val="00C91754"/>
    <w:rsid w:val="00C92E4F"/>
    <w:rsid w:val="00C95DDB"/>
    <w:rsid w:val="00CF155F"/>
    <w:rsid w:val="00D4758F"/>
    <w:rsid w:val="00D8588E"/>
    <w:rsid w:val="00DC431D"/>
    <w:rsid w:val="00DF77B8"/>
    <w:rsid w:val="00E1126E"/>
    <w:rsid w:val="00E1514C"/>
    <w:rsid w:val="00E7568E"/>
    <w:rsid w:val="00E926D1"/>
    <w:rsid w:val="00EA1A93"/>
    <w:rsid w:val="00EA4F5E"/>
    <w:rsid w:val="00EA7FB2"/>
    <w:rsid w:val="00EB0704"/>
    <w:rsid w:val="00EE4B8E"/>
    <w:rsid w:val="00F13F21"/>
    <w:rsid w:val="00F6698C"/>
    <w:rsid w:val="00FC3857"/>
    <w:rsid w:val="00FE20AF"/>
    <w:rsid w:val="012A4D39"/>
    <w:rsid w:val="031E640D"/>
    <w:rsid w:val="03D34DBA"/>
    <w:rsid w:val="03F24B44"/>
    <w:rsid w:val="054C13B5"/>
    <w:rsid w:val="06333032"/>
    <w:rsid w:val="06CE4E29"/>
    <w:rsid w:val="06F64ACD"/>
    <w:rsid w:val="077F4CF6"/>
    <w:rsid w:val="07971903"/>
    <w:rsid w:val="08042931"/>
    <w:rsid w:val="0939180C"/>
    <w:rsid w:val="096C4016"/>
    <w:rsid w:val="09855241"/>
    <w:rsid w:val="09F45F83"/>
    <w:rsid w:val="09FA07D4"/>
    <w:rsid w:val="0A463756"/>
    <w:rsid w:val="0A4C7680"/>
    <w:rsid w:val="0C1A429C"/>
    <w:rsid w:val="0C2B432C"/>
    <w:rsid w:val="0C4734F9"/>
    <w:rsid w:val="0C4A2FE4"/>
    <w:rsid w:val="0C67747D"/>
    <w:rsid w:val="0CEB1270"/>
    <w:rsid w:val="0D6B1030"/>
    <w:rsid w:val="0DB6663D"/>
    <w:rsid w:val="0E2A6620"/>
    <w:rsid w:val="0E3B3581"/>
    <w:rsid w:val="0EB43C2E"/>
    <w:rsid w:val="0ECC7CCA"/>
    <w:rsid w:val="0ED46692"/>
    <w:rsid w:val="0F623843"/>
    <w:rsid w:val="0FAA355C"/>
    <w:rsid w:val="10B67BC6"/>
    <w:rsid w:val="10C74B8E"/>
    <w:rsid w:val="10E20E9A"/>
    <w:rsid w:val="11BF6705"/>
    <w:rsid w:val="1233585A"/>
    <w:rsid w:val="127308C2"/>
    <w:rsid w:val="13592738"/>
    <w:rsid w:val="13AD76F9"/>
    <w:rsid w:val="15053F2B"/>
    <w:rsid w:val="15451814"/>
    <w:rsid w:val="15AF55D0"/>
    <w:rsid w:val="15DB6B8C"/>
    <w:rsid w:val="162E7BB6"/>
    <w:rsid w:val="17A57608"/>
    <w:rsid w:val="187A2650"/>
    <w:rsid w:val="18B02EC0"/>
    <w:rsid w:val="18B96CD6"/>
    <w:rsid w:val="190308C6"/>
    <w:rsid w:val="1904067D"/>
    <w:rsid w:val="19203B62"/>
    <w:rsid w:val="19AB7D41"/>
    <w:rsid w:val="19C9250D"/>
    <w:rsid w:val="1A015655"/>
    <w:rsid w:val="1A4074D7"/>
    <w:rsid w:val="1A576DBC"/>
    <w:rsid w:val="1B2B425F"/>
    <w:rsid w:val="1B8E2DA2"/>
    <w:rsid w:val="1BAA0C0D"/>
    <w:rsid w:val="1BEC0995"/>
    <w:rsid w:val="1C5961F4"/>
    <w:rsid w:val="1D427983"/>
    <w:rsid w:val="1D6D442F"/>
    <w:rsid w:val="1E151E60"/>
    <w:rsid w:val="1F6C6891"/>
    <w:rsid w:val="1F7B5331"/>
    <w:rsid w:val="20BD76D2"/>
    <w:rsid w:val="21563681"/>
    <w:rsid w:val="21983303"/>
    <w:rsid w:val="21EC67D3"/>
    <w:rsid w:val="22597796"/>
    <w:rsid w:val="22862782"/>
    <w:rsid w:val="22E47FD9"/>
    <w:rsid w:val="234F711D"/>
    <w:rsid w:val="23F91DDF"/>
    <w:rsid w:val="2458052C"/>
    <w:rsid w:val="258317D4"/>
    <w:rsid w:val="2591314D"/>
    <w:rsid w:val="25C1541B"/>
    <w:rsid w:val="263A64E3"/>
    <w:rsid w:val="26F569DD"/>
    <w:rsid w:val="27086DF0"/>
    <w:rsid w:val="274436A1"/>
    <w:rsid w:val="27542DD3"/>
    <w:rsid w:val="276B5C2B"/>
    <w:rsid w:val="27CD5B35"/>
    <w:rsid w:val="27F24B31"/>
    <w:rsid w:val="294744C3"/>
    <w:rsid w:val="2A824112"/>
    <w:rsid w:val="2ADE5063"/>
    <w:rsid w:val="2BCC7DD2"/>
    <w:rsid w:val="2C943202"/>
    <w:rsid w:val="2D250C18"/>
    <w:rsid w:val="2DC124DB"/>
    <w:rsid w:val="2E213059"/>
    <w:rsid w:val="2E800DD9"/>
    <w:rsid w:val="2EC83D55"/>
    <w:rsid w:val="2F4908CC"/>
    <w:rsid w:val="301B6DA0"/>
    <w:rsid w:val="30322D5D"/>
    <w:rsid w:val="30985085"/>
    <w:rsid w:val="30DB701C"/>
    <w:rsid w:val="30DE740B"/>
    <w:rsid w:val="31372D62"/>
    <w:rsid w:val="318C3C4C"/>
    <w:rsid w:val="31F17081"/>
    <w:rsid w:val="31F83A06"/>
    <w:rsid w:val="329E0724"/>
    <w:rsid w:val="32CE6DC9"/>
    <w:rsid w:val="32D90AD2"/>
    <w:rsid w:val="33137D51"/>
    <w:rsid w:val="33704E73"/>
    <w:rsid w:val="33754BED"/>
    <w:rsid w:val="33FC4B16"/>
    <w:rsid w:val="342E24ED"/>
    <w:rsid w:val="34D10E5D"/>
    <w:rsid w:val="35F005AC"/>
    <w:rsid w:val="36685B3D"/>
    <w:rsid w:val="367B51C9"/>
    <w:rsid w:val="36C86E54"/>
    <w:rsid w:val="37E64C7D"/>
    <w:rsid w:val="38EC2FC6"/>
    <w:rsid w:val="38FB7B6F"/>
    <w:rsid w:val="39300A2C"/>
    <w:rsid w:val="39966137"/>
    <w:rsid w:val="399A15E9"/>
    <w:rsid w:val="39C86FCE"/>
    <w:rsid w:val="39F12DF0"/>
    <w:rsid w:val="39F56C32"/>
    <w:rsid w:val="3ACD708D"/>
    <w:rsid w:val="3C481681"/>
    <w:rsid w:val="3C6346F1"/>
    <w:rsid w:val="3D995CBF"/>
    <w:rsid w:val="3DDF0E0A"/>
    <w:rsid w:val="3E7B56BC"/>
    <w:rsid w:val="3E7E2DA6"/>
    <w:rsid w:val="3ECA22D5"/>
    <w:rsid w:val="3ED776A1"/>
    <w:rsid w:val="3F22329C"/>
    <w:rsid w:val="3FB91C08"/>
    <w:rsid w:val="402D0519"/>
    <w:rsid w:val="402E2D47"/>
    <w:rsid w:val="405E7465"/>
    <w:rsid w:val="40695307"/>
    <w:rsid w:val="407205A5"/>
    <w:rsid w:val="40BF0145"/>
    <w:rsid w:val="40EF7228"/>
    <w:rsid w:val="42257AC0"/>
    <w:rsid w:val="441935D3"/>
    <w:rsid w:val="446A5C09"/>
    <w:rsid w:val="45326735"/>
    <w:rsid w:val="45D03C25"/>
    <w:rsid w:val="460F1021"/>
    <w:rsid w:val="46ED2639"/>
    <w:rsid w:val="476C64A6"/>
    <w:rsid w:val="47B37DB2"/>
    <w:rsid w:val="4841684E"/>
    <w:rsid w:val="48814D24"/>
    <w:rsid w:val="497601AE"/>
    <w:rsid w:val="4A5B1D8C"/>
    <w:rsid w:val="4AD82C9E"/>
    <w:rsid w:val="4ADF0F76"/>
    <w:rsid w:val="4B226FBB"/>
    <w:rsid w:val="4B9E6B8B"/>
    <w:rsid w:val="4BCB2BE4"/>
    <w:rsid w:val="4BF720C6"/>
    <w:rsid w:val="4C1E5E17"/>
    <w:rsid w:val="4C216E95"/>
    <w:rsid w:val="4CAC08BF"/>
    <w:rsid w:val="4CBD201E"/>
    <w:rsid w:val="4D350EB8"/>
    <w:rsid w:val="4D643BA7"/>
    <w:rsid w:val="4DE8333F"/>
    <w:rsid w:val="4E704596"/>
    <w:rsid w:val="4EBF3AF3"/>
    <w:rsid w:val="4ECE3543"/>
    <w:rsid w:val="4EFD1E1D"/>
    <w:rsid w:val="4F2D71A2"/>
    <w:rsid w:val="4F4B5123"/>
    <w:rsid w:val="4F595D33"/>
    <w:rsid w:val="502F09EC"/>
    <w:rsid w:val="50444BC6"/>
    <w:rsid w:val="506F43C1"/>
    <w:rsid w:val="508A07B1"/>
    <w:rsid w:val="50DF5EC5"/>
    <w:rsid w:val="50EC4B87"/>
    <w:rsid w:val="51075DF9"/>
    <w:rsid w:val="51227D2C"/>
    <w:rsid w:val="520750EA"/>
    <w:rsid w:val="52505BD7"/>
    <w:rsid w:val="526B07AB"/>
    <w:rsid w:val="535368BD"/>
    <w:rsid w:val="53963527"/>
    <w:rsid w:val="53BD4558"/>
    <w:rsid w:val="55B95008"/>
    <w:rsid w:val="55D0096C"/>
    <w:rsid w:val="56154794"/>
    <w:rsid w:val="564D0CC8"/>
    <w:rsid w:val="56F1013B"/>
    <w:rsid w:val="58137CD3"/>
    <w:rsid w:val="58594674"/>
    <w:rsid w:val="58B72928"/>
    <w:rsid w:val="58C30377"/>
    <w:rsid w:val="58FB5C3F"/>
    <w:rsid w:val="592523CD"/>
    <w:rsid w:val="592559C2"/>
    <w:rsid w:val="59722ED3"/>
    <w:rsid w:val="5A457013"/>
    <w:rsid w:val="5B320B88"/>
    <w:rsid w:val="5B587280"/>
    <w:rsid w:val="5B8C1CFB"/>
    <w:rsid w:val="5BA22C61"/>
    <w:rsid w:val="5BD75019"/>
    <w:rsid w:val="5BE36F70"/>
    <w:rsid w:val="5C105D10"/>
    <w:rsid w:val="5C705EEE"/>
    <w:rsid w:val="5D2B2405"/>
    <w:rsid w:val="5D631234"/>
    <w:rsid w:val="5D6604BD"/>
    <w:rsid w:val="5DD438F4"/>
    <w:rsid w:val="5E990E73"/>
    <w:rsid w:val="5E9A05FF"/>
    <w:rsid w:val="5EC24B73"/>
    <w:rsid w:val="5ED370F1"/>
    <w:rsid w:val="5F2F1F13"/>
    <w:rsid w:val="60EA5F68"/>
    <w:rsid w:val="611F00D4"/>
    <w:rsid w:val="61484DFB"/>
    <w:rsid w:val="61EC22D7"/>
    <w:rsid w:val="62271CA3"/>
    <w:rsid w:val="62A01E44"/>
    <w:rsid w:val="633451DD"/>
    <w:rsid w:val="63485335"/>
    <w:rsid w:val="637D3C64"/>
    <w:rsid w:val="646A1263"/>
    <w:rsid w:val="647A157D"/>
    <w:rsid w:val="648B342D"/>
    <w:rsid w:val="64920625"/>
    <w:rsid w:val="64D424AF"/>
    <w:rsid w:val="654B4ECE"/>
    <w:rsid w:val="65D72CE6"/>
    <w:rsid w:val="660A3E16"/>
    <w:rsid w:val="66B25C5D"/>
    <w:rsid w:val="671D738C"/>
    <w:rsid w:val="673F5684"/>
    <w:rsid w:val="67470CF6"/>
    <w:rsid w:val="674A268E"/>
    <w:rsid w:val="676D2EF1"/>
    <w:rsid w:val="69B55205"/>
    <w:rsid w:val="69BF31E1"/>
    <w:rsid w:val="6A09428A"/>
    <w:rsid w:val="6ACB2DCE"/>
    <w:rsid w:val="6AF27672"/>
    <w:rsid w:val="6B406153"/>
    <w:rsid w:val="6BAB08FA"/>
    <w:rsid w:val="6BC93CA0"/>
    <w:rsid w:val="6C980577"/>
    <w:rsid w:val="6CF806C2"/>
    <w:rsid w:val="6D334D14"/>
    <w:rsid w:val="6D69712A"/>
    <w:rsid w:val="6D91249F"/>
    <w:rsid w:val="6DD700CE"/>
    <w:rsid w:val="6EB86A8C"/>
    <w:rsid w:val="6F1020AD"/>
    <w:rsid w:val="6F3071A7"/>
    <w:rsid w:val="6F776A4F"/>
    <w:rsid w:val="70990C0D"/>
    <w:rsid w:val="70E16C06"/>
    <w:rsid w:val="71477480"/>
    <w:rsid w:val="71D14145"/>
    <w:rsid w:val="71F6540F"/>
    <w:rsid w:val="72B31904"/>
    <w:rsid w:val="737E20C7"/>
    <w:rsid w:val="74F105AB"/>
    <w:rsid w:val="74FC0D29"/>
    <w:rsid w:val="75300563"/>
    <w:rsid w:val="759772DE"/>
    <w:rsid w:val="76362A12"/>
    <w:rsid w:val="767330A3"/>
    <w:rsid w:val="773C481C"/>
    <w:rsid w:val="77A22532"/>
    <w:rsid w:val="77CB3F27"/>
    <w:rsid w:val="781B4FFF"/>
    <w:rsid w:val="782E66A4"/>
    <w:rsid w:val="7846010E"/>
    <w:rsid w:val="795264C0"/>
    <w:rsid w:val="79EA666D"/>
    <w:rsid w:val="7A040EF8"/>
    <w:rsid w:val="7B06644D"/>
    <w:rsid w:val="7B0952BB"/>
    <w:rsid w:val="7B4675D0"/>
    <w:rsid w:val="7BAE23D2"/>
    <w:rsid w:val="7BC45396"/>
    <w:rsid w:val="7BF4236E"/>
    <w:rsid w:val="7C0F6371"/>
    <w:rsid w:val="7C3D055D"/>
    <w:rsid w:val="7CDD090C"/>
    <w:rsid w:val="7E152E11"/>
    <w:rsid w:val="7E6654F2"/>
    <w:rsid w:val="7EEC6F1F"/>
    <w:rsid w:val="7F4109DC"/>
    <w:rsid w:val="7FF7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line="480" w:lineRule="atLeast"/>
      <w:outlineLvl w:val="0"/>
    </w:pPr>
    <w:rPr>
      <w:rFonts w:ascii="宋体" w:hAnsi="宋体" w:eastAsia="宋体"/>
      <w:b/>
      <w:sz w:val="30"/>
      <w:szCs w:val="30"/>
    </w:rPr>
  </w:style>
  <w:style w:type="paragraph" w:styleId="3">
    <w:name w:val="heading 2"/>
    <w:basedOn w:val="1"/>
    <w:next w:val="1"/>
    <w:semiHidden/>
    <w:unhideWhenUsed/>
    <w:qFormat/>
    <w:uiPriority w:val="9"/>
    <w:pPr>
      <w:outlineLvl w:val="1"/>
    </w:pPr>
    <w:rPr>
      <w:sz w:val="28"/>
    </w:rPr>
  </w:style>
  <w:style w:type="paragraph" w:styleId="4">
    <w:name w:val="heading 3"/>
    <w:basedOn w:val="1"/>
    <w:next w:val="1"/>
    <w:link w:val="22"/>
    <w:qFormat/>
    <w:uiPriority w:val="0"/>
    <w:pPr>
      <w:spacing w:line="480" w:lineRule="atLeast"/>
      <w:outlineLvl w:val="2"/>
    </w:pPr>
    <w:rPr>
      <w:rFonts w:ascii="宋体" w:hAnsi="宋体" w:eastAsia="宋体"/>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6">
    <w:name w:val="Normal Indent"/>
    <w:basedOn w:val="1"/>
    <w:next w:val="7"/>
    <w:qFormat/>
    <w:uiPriority w:val="0"/>
    <w:pPr>
      <w:ind w:firstLine="420" w:firstLineChars="200"/>
    </w:pPr>
    <w:rPr>
      <w:rFonts w:eastAsia="宋体"/>
      <w:szCs w:val="24"/>
    </w:rPr>
  </w:style>
  <w:style w:type="paragraph" w:styleId="7">
    <w:name w:val="Body Text First Indent 2"/>
    <w:basedOn w:val="1"/>
    <w:next w:val="1"/>
    <w:semiHidden/>
    <w:unhideWhenUsed/>
    <w:qFormat/>
    <w:uiPriority w:val="99"/>
    <w:pPr>
      <w:spacing w:after="120"/>
      <w:ind w:left="420" w:leftChars="200" w:firstLine="420"/>
    </w:pPr>
    <w:rPr>
      <w:rFonts w:ascii="Times New Roman" w:hAnsi="Times New Roman" w:eastAsia="宋体"/>
    </w:rPr>
  </w:style>
  <w:style w:type="paragraph" w:styleId="8">
    <w:name w:val="annotation text"/>
    <w:basedOn w:val="1"/>
    <w:link w:val="28"/>
    <w:unhideWhenUsed/>
    <w:qFormat/>
    <w:uiPriority w:val="99"/>
    <w:pPr>
      <w:jc w:val="left"/>
    </w:pPr>
  </w:style>
  <w:style w:type="paragraph" w:styleId="9">
    <w:name w:val="Body Text"/>
    <w:basedOn w:val="1"/>
    <w:next w:val="7"/>
    <w:qFormat/>
    <w:uiPriority w:val="0"/>
    <w:rPr>
      <w:rFonts w:ascii="Times New Roman" w:hAnsi="Times New Roman" w:eastAsia="宋体" w:cs="Times New Roman"/>
      <w:sz w:val="32"/>
      <w:szCs w:val="20"/>
    </w:rPr>
  </w:style>
  <w:style w:type="paragraph" w:styleId="10">
    <w:name w:val="Block Text"/>
    <w:basedOn w:val="1"/>
    <w:next w:val="1"/>
    <w:semiHidden/>
    <w:unhideWhenUsed/>
    <w:qFormat/>
    <w:uiPriority w:val="99"/>
    <w:pPr>
      <w:adjustRightInd w:val="0"/>
      <w:snapToGrid w:val="0"/>
      <w:spacing w:line="440" w:lineRule="exact"/>
      <w:ind w:left="402" w:right="108" w:firstLine="450"/>
    </w:pPr>
    <w:rPr>
      <w:rFonts w:ascii="宋体" w:hAnsi="宋体" w:eastAsia="宋体" w:cs="Times New Roman"/>
      <w:sz w:val="24"/>
      <w:szCs w:val="20"/>
    </w:rPr>
  </w:style>
  <w:style w:type="paragraph" w:styleId="11">
    <w:name w:val="Balloon Text"/>
    <w:basedOn w:val="1"/>
    <w:link w:val="30"/>
    <w:unhideWhenUsed/>
    <w:qFormat/>
    <w:uiPriority w:val="99"/>
    <w:rPr>
      <w:sz w:val="18"/>
      <w:szCs w:val="18"/>
    </w:rPr>
  </w:style>
  <w:style w:type="paragraph" w:styleId="12">
    <w:name w:val="footer"/>
    <w:basedOn w:val="1"/>
    <w:link w:val="21"/>
    <w:unhideWhenUsed/>
    <w:qFormat/>
    <w:uiPriority w:val="99"/>
    <w:pPr>
      <w:tabs>
        <w:tab w:val="center" w:pos="4153"/>
        <w:tab w:val="right" w:pos="8306"/>
      </w:tabs>
      <w:snapToGrid w:val="0"/>
      <w:jc w:val="left"/>
    </w:pPr>
    <w:rPr>
      <w:sz w:val="18"/>
      <w:szCs w:val="18"/>
    </w:rPr>
  </w:style>
  <w:style w:type="paragraph" w:styleId="13">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5">
    <w:name w:val="annotation subject"/>
    <w:basedOn w:val="8"/>
    <w:next w:val="8"/>
    <w:link w:val="29"/>
    <w:unhideWhenUsed/>
    <w:qFormat/>
    <w:uiPriority w:val="99"/>
    <w:rPr>
      <w:b/>
      <w:bCs/>
    </w:rPr>
  </w:style>
  <w:style w:type="table" w:styleId="17">
    <w:name w:val="Table Grid"/>
    <w:basedOn w:val="16"/>
    <w:unhideWhenUsed/>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脚 Char"/>
    <w:basedOn w:val="18"/>
    <w:link w:val="12"/>
    <w:qFormat/>
    <w:uiPriority w:val="99"/>
    <w:rPr>
      <w:sz w:val="18"/>
      <w:szCs w:val="18"/>
    </w:rPr>
  </w:style>
  <w:style w:type="character" w:customStyle="1" w:styleId="22">
    <w:name w:val="标题 3 Char"/>
    <w:basedOn w:val="18"/>
    <w:link w:val="4"/>
    <w:qFormat/>
    <w:uiPriority w:val="0"/>
    <w:rPr>
      <w:rFonts w:ascii="宋体" w:hAnsi="宋体" w:eastAsia="宋体"/>
      <w:sz w:val="24"/>
      <w:szCs w:val="24"/>
    </w:rPr>
  </w:style>
  <w:style w:type="character" w:customStyle="1" w:styleId="23">
    <w:name w:val="页眉 Char"/>
    <w:basedOn w:val="18"/>
    <w:link w:val="13"/>
    <w:qFormat/>
    <w:uiPriority w:val="99"/>
    <w:rPr>
      <w:sz w:val="18"/>
      <w:szCs w:val="18"/>
    </w:rPr>
  </w:style>
  <w:style w:type="character" w:customStyle="1" w:styleId="24">
    <w:name w:val="正文2 Char Char"/>
    <w:basedOn w:val="18"/>
    <w:link w:val="25"/>
    <w:qFormat/>
    <w:uiPriority w:val="0"/>
    <w:rPr>
      <w:spacing w:val="18"/>
      <w:sz w:val="32"/>
    </w:rPr>
  </w:style>
  <w:style w:type="paragraph" w:customStyle="1" w:styleId="25">
    <w:name w:val="正文2"/>
    <w:link w:val="24"/>
    <w:qFormat/>
    <w:uiPriority w:val="0"/>
    <w:pPr>
      <w:widowControl w:val="0"/>
      <w:suppressAutoHyphens/>
      <w:spacing w:line="520" w:lineRule="atLeast"/>
      <w:ind w:firstLine="680"/>
      <w:jc w:val="both"/>
    </w:pPr>
    <w:rPr>
      <w:rFonts w:asciiTheme="minorHAnsi" w:hAnsiTheme="minorHAnsi" w:eastAsiaTheme="minorEastAsia" w:cstheme="minorBidi"/>
      <w:spacing w:val="18"/>
      <w:kern w:val="2"/>
      <w:sz w:val="32"/>
      <w:szCs w:val="22"/>
      <w:lang w:val="en-US" w:eastAsia="zh-CN" w:bidi="ar-SA"/>
    </w:rPr>
  </w:style>
  <w:style w:type="paragraph" w:customStyle="1" w:styleId="26">
    <w:name w:val="Default"/>
    <w:qForma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批注文字 Char"/>
    <w:basedOn w:val="18"/>
    <w:link w:val="8"/>
    <w:semiHidden/>
    <w:qFormat/>
    <w:uiPriority w:val="99"/>
  </w:style>
  <w:style w:type="character" w:customStyle="1" w:styleId="29">
    <w:name w:val="批注主题 Char"/>
    <w:basedOn w:val="28"/>
    <w:link w:val="15"/>
    <w:semiHidden/>
    <w:qFormat/>
    <w:uiPriority w:val="99"/>
    <w:rPr>
      <w:b/>
      <w:bCs/>
    </w:rPr>
  </w:style>
  <w:style w:type="character" w:customStyle="1" w:styleId="30">
    <w:name w:val="批注框文本 Char"/>
    <w:basedOn w:val="18"/>
    <w:link w:val="11"/>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3154</Words>
  <Characters>3907</Characters>
  <Lines>24</Lines>
  <Paragraphs>6</Paragraphs>
  <TotalTime>8</TotalTime>
  <ScaleCrop>false</ScaleCrop>
  <LinksUpToDate>false</LinksUpToDate>
  <CharactersWithSpaces>3925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2017-10-29T04:40:00Z</dcterms:created>
  <dc:creator>雷国伟</dc:creator>
  <cp:lastModifiedBy>闫广荣</cp:lastModifiedBy>
  <cp:lastPrinted>2020-11-26T07:50:00Z</cp:lastPrinted>
  <dcterms:modified xsi:type="dcterms:W3CDTF">2023-03-21T00:38:55Z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3AB8F394C8644D6F8BEC1967B1CE09F5</vt:lpwstr>
  </property>
</Properties>
</file>